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hint="eastAsia" w:ascii="华文中宋" w:hAnsi="华文中宋" w:eastAsia="华文中宋"/>
          <w:b/>
          <w:sz w:val="36"/>
          <w:szCs w:val="36"/>
        </w:rPr>
      </w:pPr>
      <w:r>
        <w:rPr>
          <w:rFonts w:hint="eastAsia" w:ascii="华文中宋" w:hAnsi="华文中宋" w:eastAsia="华文中宋"/>
          <w:b/>
          <w:sz w:val="36"/>
          <w:szCs w:val="36"/>
          <w:lang w:eastAsia="zh-CN"/>
        </w:rPr>
        <w:t>猪场粪污全量还田利用</w:t>
      </w:r>
      <w:r>
        <w:rPr>
          <w:rFonts w:hint="eastAsia" w:ascii="华文中宋" w:hAnsi="华文中宋" w:eastAsia="华文中宋"/>
          <w:b/>
          <w:sz w:val="36"/>
          <w:szCs w:val="36"/>
        </w:rPr>
        <w:t>技术</w:t>
      </w:r>
    </w:p>
    <w:p>
      <w:pPr>
        <w:spacing w:line="640" w:lineRule="exact"/>
        <w:jc w:val="center"/>
        <w:rPr>
          <w:rFonts w:hint="eastAsia" w:ascii="华文中宋" w:hAnsi="华文中宋" w:eastAsia="华文中宋"/>
          <w:b/>
          <w:sz w:val="36"/>
          <w:szCs w:val="36"/>
        </w:rPr>
      </w:pPr>
    </w:p>
    <w:p>
      <w:pPr>
        <w:keepNext w:val="0"/>
        <w:keepLines w:val="0"/>
        <w:pageBreakBefore w:val="0"/>
        <w:widowControl w:val="0"/>
        <w:kinsoku/>
        <w:wordWrap/>
        <w:overflowPunct/>
        <w:topLinePunct w:val="0"/>
        <w:bidi w:val="0"/>
        <w:snapToGrid/>
        <w:spacing w:line="600" w:lineRule="exact"/>
        <w:ind w:firstLine="640" w:firstLineChars="200"/>
        <w:textAlignment w:val="auto"/>
        <w:rPr>
          <w:rFonts w:ascii="Times New Roman" w:hAnsi="Times New Roman" w:eastAsia="黑体"/>
          <w:color w:val="000000" w:themeColor="text1"/>
          <w:sz w:val="28"/>
          <w:szCs w:val="28"/>
          <w14:textFill>
            <w14:solidFill>
              <w14:schemeClr w14:val="tx1"/>
            </w14:solidFill>
          </w14:textFill>
        </w:rPr>
      </w:pPr>
      <w:r>
        <w:rPr>
          <w:rFonts w:hint="eastAsia" w:ascii="Times New Roman" w:hAnsi="Times New Roman" w:eastAsia="黑体"/>
          <w:color w:val="000000" w:themeColor="text1"/>
          <w:sz w:val="32"/>
          <w:szCs w:val="32"/>
          <w:lang w:eastAsia="zh-CN"/>
          <w14:textFill>
            <w14:solidFill>
              <w14:schemeClr w14:val="tx1"/>
            </w14:solidFill>
          </w14:textFill>
        </w:rPr>
        <w:t>一</w:t>
      </w:r>
      <w:r>
        <w:rPr>
          <w:rFonts w:ascii="Times New Roman" w:hAnsi="Times New Roman" w:eastAsia="黑体"/>
          <w:color w:val="000000" w:themeColor="text1"/>
          <w:sz w:val="32"/>
          <w:szCs w:val="32"/>
          <w14:textFill>
            <w14:solidFill>
              <w14:schemeClr w14:val="tx1"/>
            </w14:solidFill>
          </w14:textFill>
        </w:rPr>
        <w:t>、技术要点</w:t>
      </w:r>
    </w:p>
    <w:p>
      <w:pPr>
        <w:keepNext w:val="0"/>
        <w:keepLines w:val="0"/>
        <w:pageBreakBefore w:val="0"/>
        <w:widowControl w:val="0"/>
        <w:kinsoku/>
        <w:wordWrap/>
        <w:overflowPunct/>
        <w:topLinePunct w:val="0"/>
        <w:bidi w:val="0"/>
        <w:snapToGrid/>
        <w:spacing w:line="600" w:lineRule="exact"/>
        <w:ind w:firstLine="642" w:firstLineChars="200"/>
        <w:textAlignment w:val="auto"/>
        <w:rPr>
          <w:rFonts w:hint="eastAsia" w:ascii="楷体_GB2312" w:hAnsi="楷体" w:eastAsia="楷体_GB2312"/>
          <w:b/>
          <w:bCs/>
          <w:color w:val="000000" w:themeColor="text1"/>
          <w:sz w:val="32"/>
          <w:szCs w:val="32"/>
          <w:lang w:eastAsia="zh-CN"/>
          <w14:textFill>
            <w14:solidFill>
              <w14:schemeClr w14:val="tx1"/>
            </w14:solidFill>
          </w14:textFill>
        </w:rPr>
      </w:pPr>
      <w:r>
        <w:rPr>
          <w:rFonts w:hint="eastAsia" w:ascii="楷体_GB2312" w:hAnsi="楷体" w:eastAsia="楷体_GB2312"/>
          <w:b/>
          <w:bCs/>
          <w:color w:val="000000" w:themeColor="text1"/>
          <w:sz w:val="32"/>
          <w:szCs w:val="32"/>
          <w14:textFill>
            <w14:solidFill>
              <w14:schemeClr w14:val="tx1"/>
            </w14:solidFill>
          </w14:textFill>
        </w:rPr>
        <w:t>（一）</w:t>
      </w:r>
      <w:r>
        <w:rPr>
          <w:rFonts w:hint="eastAsia" w:ascii="楷体_GB2312" w:hAnsi="楷体" w:eastAsia="楷体_GB2312"/>
          <w:b/>
          <w:bCs/>
          <w:color w:val="000000" w:themeColor="text1"/>
          <w:sz w:val="32"/>
          <w:szCs w:val="32"/>
          <w:lang w:eastAsia="zh-CN"/>
          <w14:textFill>
            <w14:solidFill>
              <w14:schemeClr w14:val="tx1"/>
            </w14:solidFill>
          </w14:textFill>
        </w:rPr>
        <w:t>设施设备</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lang w:eastAsia="zh-CN"/>
          <w14:textFill>
            <w14:solidFill>
              <w14:schemeClr w14:val="tx1"/>
            </w14:solidFill>
          </w14:textFill>
        </w:rPr>
        <w:t>猪场应配备以下设施设备：</w:t>
      </w:r>
    </w:p>
    <w:p>
      <w:pPr>
        <w:pStyle w:val="9"/>
        <w:keepNext w:val="0"/>
        <w:keepLines w:val="0"/>
        <w:pageBreakBefore w:val="0"/>
        <w:widowControl w:val="0"/>
        <w:kinsoku/>
        <w:wordWrap/>
        <w:overflowPunct/>
        <w:topLinePunct w:val="0"/>
        <w:bidi w:val="0"/>
        <w:adjustRightInd/>
        <w:snapToGrid/>
        <w:spacing w:line="600" w:lineRule="exact"/>
        <w:ind w:firstLine="562" w:firstLineChars="200"/>
        <w:jc w:val="left"/>
        <w:textAlignment w:val="auto"/>
        <w:outlineLvl w:val="2"/>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仿宋_GB2312" w:hAnsi="Times New Roman" w:eastAsia="仿宋_GB2312" w:cstheme="minorBidi"/>
          <w:b/>
          <w:bCs/>
          <w:color w:val="000000" w:themeColor="text1"/>
          <w:kern w:val="2"/>
          <w:sz w:val="28"/>
          <w:szCs w:val="28"/>
          <w:lang w:val="en-US" w:eastAsia="zh-CN" w:bidi="ar-SA"/>
          <w14:textFill>
            <w14:solidFill>
              <w14:schemeClr w14:val="tx1"/>
            </w14:solidFill>
          </w14:textFill>
        </w:rPr>
        <w:t>1.收集池。</w:t>
      </w:r>
      <w:r>
        <w:rPr>
          <w:rFonts w:hint="eastAsia" w:ascii="仿宋_GB2312" w:eastAsia="仿宋_GB2312" w:cstheme="minorBidi"/>
          <w:b w:val="0"/>
          <w:bCs w:val="0"/>
          <w:color w:val="000000" w:themeColor="text1"/>
          <w:kern w:val="2"/>
          <w:sz w:val="28"/>
          <w:szCs w:val="28"/>
          <w:lang w:val="en-US" w:eastAsia="zh-CN" w:bidi="ar-SA"/>
          <w14:textFill>
            <w14:solidFill>
              <w14:schemeClr w14:val="tx1"/>
            </w14:solidFill>
          </w14:textFill>
        </w:rPr>
        <w:t>猪场采用机械清粪和水冲粪工艺的，应在栏舍外设置舍外收集池。</w:t>
      </w: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猪场采用水</w:t>
      </w:r>
      <w:r>
        <w:rPr>
          <w:rFonts w:hint="eastAsia" w:ascii="仿宋_GB2312" w:eastAsia="仿宋_GB2312" w:cstheme="minorBidi"/>
          <w:color w:val="000000" w:themeColor="text1"/>
          <w:kern w:val="2"/>
          <w:sz w:val="28"/>
          <w:szCs w:val="28"/>
          <w:lang w:val="en-US" w:eastAsia="zh-CN" w:bidi="ar-SA"/>
          <w14:textFill>
            <w14:solidFill>
              <w14:schemeClr w14:val="tx1"/>
            </w14:solidFill>
          </w14:textFill>
        </w:rPr>
        <w:t>泡</w:t>
      </w: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粪或者尿泡粪</w:t>
      </w:r>
      <w:r>
        <w:rPr>
          <w:rFonts w:hint="eastAsia" w:ascii="仿宋_GB2312" w:eastAsia="仿宋_GB2312" w:cstheme="minorBidi"/>
          <w:color w:val="000000" w:themeColor="text1"/>
          <w:kern w:val="2"/>
          <w:sz w:val="28"/>
          <w:szCs w:val="28"/>
          <w:lang w:val="en-US" w:eastAsia="zh-CN" w:bidi="ar-SA"/>
          <w14:textFill>
            <w14:solidFill>
              <w14:schemeClr w14:val="tx1"/>
            </w14:solidFill>
          </w14:textFill>
        </w:rPr>
        <w:t>清粪工艺的</w:t>
      </w: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w:t>
      </w:r>
      <w:r>
        <w:rPr>
          <w:rFonts w:hint="eastAsia" w:ascii="仿宋_GB2312" w:eastAsia="仿宋_GB2312" w:cstheme="minorBidi"/>
          <w:color w:val="000000" w:themeColor="text1"/>
          <w:kern w:val="2"/>
          <w:sz w:val="28"/>
          <w:szCs w:val="28"/>
          <w:lang w:val="en-US" w:eastAsia="zh-CN" w:bidi="ar-SA"/>
          <w14:textFill>
            <w14:solidFill>
              <w14:schemeClr w14:val="tx1"/>
            </w14:solidFill>
          </w14:textFill>
        </w:rPr>
        <w:t>应在漏缝地板下面</w:t>
      </w: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设置舍内收集池，其容积和深度要求见表1。</w:t>
      </w:r>
    </w:p>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表1  舍内收集池容积表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0"/>
        <w:gridCol w:w="2852"/>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noWrap w:val="0"/>
            <w:vAlign w:val="top"/>
          </w:tcPr>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栏舍类型</w:t>
            </w:r>
          </w:p>
        </w:tc>
        <w:tc>
          <w:tcPr>
            <w:tcW w:w="3190" w:type="dxa"/>
            <w:noWrap w:val="0"/>
            <w:vAlign w:val="top"/>
          </w:tcPr>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容积（m</w:t>
            </w:r>
            <w:r>
              <w:rPr>
                <w:rFonts w:hint="eastAsia" w:ascii="仿宋_GB2312" w:hAnsi="Times New Roman" w:eastAsia="仿宋_GB2312" w:cstheme="minorBidi"/>
                <w:color w:val="000000" w:themeColor="text1"/>
                <w:kern w:val="2"/>
                <w:sz w:val="24"/>
                <w:szCs w:val="24"/>
                <w:vertAlign w:val="superscript"/>
                <w:lang w:val="en-US" w:eastAsia="zh-CN" w:bidi="ar-SA"/>
                <w14:textFill>
                  <w14:solidFill>
                    <w14:schemeClr w14:val="tx1"/>
                  </w14:solidFill>
                </w14:textFill>
              </w:rPr>
              <w:t>3</w:t>
            </w: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/头）</w:t>
            </w:r>
          </w:p>
        </w:tc>
        <w:tc>
          <w:tcPr>
            <w:tcW w:w="3190" w:type="dxa"/>
            <w:noWrap w:val="0"/>
            <w:vAlign w:val="top"/>
          </w:tcPr>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深度（m）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noWrap w:val="0"/>
            <w:vAlign w:val="top"/>
          </w:tcPr>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母猪舍</w:t>
            </w:r>
          </w:p>
        </w:tc>
        <w:tc>
          <w:tcPr>
            <w:tcW w:w="3190" w:type="dxa"/>
            <w:noWrap w:val="0"/>
            <w:vAlign w:val="top"/>
          </w:tcPr>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≧0.5</w:t>
            </w:r>
          </w:p>
        </w:tc>
        <w:tc>
          <w:tcPr>
            <w:tcW w:w="3190" w:type="dxa"/>
            <w:noWrap w:val="0"/>
            <w:vAlign w:val="top"/>
          </w:tcPr>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noWrap w:val="0"/>
            <w:vAlign w:val="top"/>
          </w:tcPr>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育肥猪舍</w:t>
            </w:r>
          </w:p>
        </w:tc>
        <w:tc>
          <w:tcPr>
            <w:tcW w:w="3190" w:type="dxa"/>
            <w:noWrap w:val="0"/>
            <w:vAlign w:val="top"/>
          </w:tcPr>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≧0.3</w:t>
            </w:r>
          </w:p>
        </w:tc>
        <w:tc>
          <w:tcPr>
            <w:tcW w:w="3190" w:type="dxa"/>
            <w:noWrap w:val="0"/>
            <w:vAlign w:val="top"/>
          </w:tcPr>
          <w:p>
            <w:pPr>
              <w:pStyle w:val="9"/>
              <w:keepNext w:val="0"/>
              <w:keepLines w:val="0"/>
              <w:pageBreakBefore w:val="0"/>
              <w:kinsoku/>
              <w:wordWrap/>
              <w:overflowPunct/>
              <w:topLinePunct w:val="0"/>
              <w:bidi w:val="0"/>
              <w:adjustRightInd/>
              <w:spacing w:line="240" w:lineRule="auto"/>
              <w:ind w:firstLine="0" w:firstLineChars="0"/>
              <w:jc w:val="center"/>
              <w:textAlignment w:val="auto"/>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4"/>
                <w:szCs w:val="24"/>
                <w:lang w:val="en-US" w:eastAsia="zh-CN" w:bidi="ar-SA"/>
                <w14:textFill>
                  <w14:solidFill>
                    <w14:schemeClr w14:val="tx1"/>
                  </w14:solidFill>
                </w14:textFill>
              </w:rPr>
              <w:t>≧0.8</w:t>
            </w:r>
          </w:p>
        </w:tc>
      </w:tr>
    </w:tbl>
    <w:p>
      <w:pPr>
        <w:keepNext w:val="0"/>
        <w:keepLines w:val="0"/>
        <w:pageBreakBefore w:val="0"/>
        <w:widowControl w:val="0"/>
        <w:kinsoku/>
        <w:wordWrap/>
        <w:overflowPunct/>
        <w:topLinePunct w:val="0"/>
        <w:autoSpaceDE/>
        <w:autoSpaceDN/>
        <w:bidi w:val="0"/>
        <w:adjustRightInd/>
        <w:snapToGrid/>
        <w:spacing w:line="240" w:lineRule="auto"/>
        <w:ind w:firstLine="220" w:firstLineChars="200"/>
        <w:textAlignment w:val="auto"/>
        <w:rPr>
          <w:rFonts w:hint="eastAsia" w:ascii="仿宋_GB2312" w:hAnsi="Times New Roman" w:eastAsia="仿宋_GB2312"/>
          <w:b/>
          <w:bCs/>
          <w:color w:val="000000" w:themeColor="text1"/>
          <w:sz w:val="11"/>
          <w:szCs w:val="1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Times New Roman" w:eastAsia="仿宋_GB2312"/>
          <w:b/>
          <w:bCs/>
          <w:color w:val="000000" w:themeColor="text1"/>
          <w:sz w:val="28"/>
          <w:szCs w:val="28"/>
          <w:lang w:val="en-US" w:eastAsia="zh-CN"/>
          <w14:textFill>
            <w14:solidFill>
              <w14:schemeClr w14:val="tx1"/>
            </w14:solidFill>
          </w14:textFill>
        </w:rPr>
      </w:pPr>
      <w:r>
        <w:rPr>
          <w:rFonts w:hint="eastAsia" w:ascii="仿宋_GB2312" w:hAnsi="Times New Roman" w:eastAsia="仿宋_GB2312"/>
          <w:b/>
          <w:bCs/>
          <w:color w:val="000000" w:themeColor="text1"/>
          <w:sz w:val="28"/>
          <w:szCs w:val="28"/>
          <w:lang w:val="en-US" w:eastAsia="zh-CN"/>
          <w14:textFill>
            <w14:solidFill>
              <w14:schemeClr w14:val="tx1"/>
            </w14:solidFill>
          </w14:textFill>
        </w:rPr>
        <w:drawing>
          <wp:inline distT="0" distB="0" distL="114300" distR="114300">
            <wp:extent cx="5255895" cy="3668395"/>
            <wp:effectExtent l="0" t="0" r="1905" b="8255"/>
            <wp:docPr id="5" name="图片 5" descr="IMG_20200325_1001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IMG_20200325_100117"/>
                    <pic:cNvPicPr>
                      <a:picLocks noChangeAspect="true"/>
                    </pic:cNvPicPr>
                  </pic:nvPicPr>
                  <pic:blipFill>
                    <a:blip r:embed="rId5"/>
                    <a:stretch>
                      <a:fillRect/>
                    </a:stretch>
                  </pic:blipFill>
                  <pic:spPr>
                    <a:xfrm>
                      <a:off x="0" y="0"/>
                      <a:ext cx="5255895" cy="36683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图1 漏缝地板</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Times New Roman" w:eastAsia="仿宋_GB2312"/>
          <w:b/>
          <w:bCs/>
          <w:color w:val="000000" w:themeColor="text1"/>
          <w:sz w:val="28"/>
          <w:szCs w:val="28"/>
          <w:lang w:val="en-US" w:eastAsia="zh-CN"/>
          <w14:textFill>
            <w14:solidFill>
              <w14:schemeClr w14:val="tx1"/>
            </w14:solidFill>
          </w14:textFill>
        </w:rPr>
      </w:pPr>
      <w:r>
        <w:rPr>
          <w:rFonts w:hint="eastAsia" w:ascii="仿宋_GB2312" w:hAnsi="Times New Roman" w:eastAsia="仿宋_GB2312"/>
          <w:b/>
          <w:bCs/>
          <w:color w:val="000000" w:themeColor="text1"/>
          <w:sz w:val="28"/>
          <w:szCs w:val="28"/>
          <w:lang w:val="en-US" w:eastAsia="zh-CN"/>
          <w14:textFill>
            <w14:solidFill>
              <w14:schemeClr w14:val="tx1"/>
            </w14:solidFill>
          </w14:textFill>
        </w:rPr>
        <w:drawing>
          <wp:inline distT="0" distB="0" distL="114300" distR="114300">
            <wp:extent cx="5255895" cy="3943985"/>
            <wp:effectExtent l="0" t="0" r="1905" b="18415"/>
            <wp:docPr id="6" name="图片 6" descr="IMG_20200424_1503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IMG_20200424_150350"/>
                    <pic:cNvPicPr>
                      <a:picLocks noChangeAspect="true"/>
                    </pic:cNvPicPr>
                  </pic:nvPicPr>
                  <pic:blipFill>
                    <a:blip r:embed="rId6"/>
                    <a:stretch>
                      <a:fillRect/>
                    </a:stretch>
                  </pic:blipFill>
                  <pic:spPr>
                    <a:xfrm>
                      <a:off x="0" y="0"/>
                      <a:ext cx="5255895" cy="3943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图2 舍内收集池</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b/>
          <w:bCs/>
          <w:color w:val="000000" w:themeColor="text1"/>
          <w:sz w:val="28"/>
          <w:szCs w:val="28"/>
          <w:lang w:val="en-US" w:eastAsia="zh-CN"/>
          <w14:textFill>
            <w14:solidFill>
              <w14:schemeClr w14:val="tx1"/>
            </w14:solidFill>
          </w14:textFill>
        </w:rPr>
        <w:t>2.</w:t>
      </w:r>
      <w:r>
        <w:rPr>
          <w:rFonts w:hint="eastAsia" w:ascii="仿宋_GB2312" w:hAnsi="Times New Roman" w:eastAsia="仿宋_GB2312"/>
          <w:b/>
          <w:bCs/>
          <w:color w:val="000000" w:themeColor="text1"/>
          <w:sz w:val="28"/>
          <w:szCs w:val="28"/>
          <w:lang w:eastAsia="zh-CN"/>
          <w14:textFill>
            <w14:solidFill>
              <w14:schemeClr w14:val="tx1"/>
            </w14:solidFill>
          </w14:textFill>
        </w:rPr>
        <w:t>收集管道。</w:t>
      </w:r>
      <w:r>
        <w:rPr>
          <w:rFonts w:hint="eastAsia" w:ascii="仿宋_GB2312" w:hAnsi="Times New Roman" w:eastAsia="仿宋_GB2312"/>
          <w:color w:val="000000" w:themeColor="text1"/>
          <w:sz w:val="28"/>
          <w:szCs w:val="28"/>
          <w:lang w:eastAsia="zh-CN"/>
          <w14:textFill>
            <w14:solidFill>
              <w14:schemeClr w14:val="tx1"/>
            </w14:solidFill>
          </w14:textFill>
        </w:rPr>
        <w:t>猪场要铺设粪污从舍内收集池或者舍外收集池到氧化塘的通道，一般采用暗沟或</w:t>
      </w:r>
      <w:r>
        <w:rPr>
          <w:rFonts w:hint="eastAsia" w:ascii="仿宋_GB2312" w:hAnsi="Times New Roman" w:eastAsia="仿宋_GB2312"/>
          <w:color w:val="000000" w:themeColor="text1"/>
          <w:sz w:val="28"/>
          <w:szCs w:val="28"/>
          <w:lang w:val="en-US" w:eastAsia="zh-CN"/>
          <w14:textFill>
            <w14:solidFill>
              <w14:schemeClr w14:val="tx1"/>
            </w14:solidFill>
          </w14:textFill>
        </w:rPr>
        <w:t>PVC管，</w:t>
      </w:r>
      <w:r>
        <w:rPr>
          <w:rFonts w:hint="eastAsia" w:ascii="仿宋_GB2312" w:hAnsi="Times New Roman" w:eastAsia="仿宋_GB2312"/>
          <w:color w:val="000000" w:themeColor="text1"/>
          <w:sz w:val="28"/>
          <w:szCs w:val="28"/>
          <w:lang w:eastAsia="zh-CN"/>
          <w14:textFill>
            <w14:solidFill>
              <w14:schemeClr w14:val="tx1"/>
            </w14:solidFill>
          </w14:textFill>
        </w:rPr>
        <w:t>利用地势差铺设，每隔30 m～50 m设置沉淀井或观察井。</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b/>
          <w:bCs/>
          <w:color w:val="000000" w:themeColor="text1"/>
          <w:sz w:val="28"/>
          <w:szCs w:val="28"/>
          <w:lang w:val="en-US" w:eastAsia="zh-CN"/>
          <w14:textFill>
            <w14:solidFill>
              <w14:schemeClr w14:val="tx1"/>
            </w14:solidFill>
          </w14:textFill>
        </w:rPr>
        <w:t>3.</w:t>
      </w:r>
      <w:r>
        <w:rPr>
          <w:rFonts w:hint="eastAsia" w:ascii="仿宋_GB2312" w:hAnsi="Times New Roman" w:eastAsia="仿宋_GB2312"/>
          <w:b/>
          <w:bCs/>
          <w:color w:val="000000" w:themeColor="text1"/>
          <w:sz w:val="28"/>
          <w:szCs w:val="28"/>
          <w:lang w:eastAsia="zh-CN"/>
          <w14:textFill>
            <w14:solidFill>
              <w14:schemeClr w14:val="tx1"/>
            </w14:solidFill>
          </w14:textFill>
        </w:rPr>
        <w:t>氧化塘（贮存池）。</w:t>
      </w:r>
      <w:bookmarkStart w:id="0" w:name="_Toc26191451"/>
      <w:bookmarkStart w:id="1" w:name="_Toc26191755"/>
      <w:bookmarkStart w:id="2" w:name="_Toc26191666"/>
      <w:bookmarkStart w:id="3" w:name="_Toc26191428"/>
      <w:r>
        <w:rPr>
          <w:rFonts w:hint="eastAsia" w:ascii="仿宋_GB2312" w:hAnsi="Times New Roman" w:eastAsia="仿宋_GB2312"/>
          <w:color w:val="000000" w:themeColor="text1"/>
          <w:sz w:val="28"/>
          <w:szCs w:val="28"/>
          <w:lang w:eastAsia="zh-CN"/>
          <w14:textFill>
            <w14:solidFill>
              <w14:schemeClr w14:val="tx1"/>
            </w14:solidFill>
          </w14:textFill>
        </w:rPr>
        <w:t>猪场应建设2个上氧化塘，串联使用或者轮换使用，氧化塘要防渗漏并设置围栏和警示标志。有条件的可在氧化塘的前端增加厌氧发酵池，液体贮存总容积应满足存储180</w:t>
      </w:r>
      <w:r>
        <w:rPr>
          <w:rFonts w:hint="eastAsia" w:ascii="仿宋_GB2312" w:hAnsi="Times New Roman" w:eastAsia="仿宋_GB2312"/>
          <w:color w:val="000000" w:themeColor="text1"/>
          <w:sz w:val="28"/>
          <w:szCs w:val="28"/>
          <w:lang w:val="en-US" w:eastAsia="zh-CN"/>
          <w14:textFill>
            <w14:solidFill>
              <w14:schemeClr w14:val="tx1"/>
            </w14:solidFill>
          </w14:textFill>
        </w:rPr>
        <w:t xml:space="preserve"> </w:t>
      </w:r>
      <w:r>
        <w:rPr>
          <w:rFonts w:hint="eastAsia" w:ascii="仿宋_GB2312" w:hAnsi="Times New Roman" w:eastAsia="仿宋_GB2312"/>
          <w:color w:val="000000" w:themeColor="text1"/>
          <w:sz w:val="28"/>
          <w:szCs w:val="28"/>
          <w:lang w:eastAsia="zh-CN"/>
          <w14:textFill>
            <w14:solidFill>
              <w14:schemeClr w14:val="tx1"/>
            </w14:solidFill>
          </w14:textFill>
        </w:rPr>
        <w:t>d粪污的需要。</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Theme="minorEastAsia"/>
          <w:lang w:eastAsia="zh-CN"/>
        </w:rPr>
      </w:pPr>
      <w:r>
        <w:rPr>
          <w:rFonts w:hint="eastAsia" w:eastAsiaTheme="minorEastAsia"/>
          <w:lang w:eastAsia="zh-CN"/>
        </w:rPr>
        <w:drawing>
          <wp:inline distT="0" distB="0" distL="114300" distR="114300">
            <wp:extent cx="5255895" cy="3943350"/>
            <wp:effectExtent l="0" t="0" r="1905" b="0"/>
            <wp:docPr id="3" name="图片 3" descr="IMG_20200421_1731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IMG_20200421_173104"/>
                    <pic:cNvPicPr>
                      <a:picLocks noChangeAspect="true"/>
                    </pic:cNvPicPr>
                  </pic:nvPicPr>
                  <pic:blipFill>
                    <a:blip r:embed="rId7"/>
                    <a:stretch>
                      <a:fillRect/>
                    </a:stretch>
                  </pic:blipFill>
                  <pic:spPr>
                    <a:xfrm>
                      <a:off x="0" y="0"/>
                      <a:ext cx="5255895" cy="3943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宋体" w:hAnsi="宋体" w:eastAsia="宋体" w:cs="宋体"/>
          <w:sz w:val="24"/>
          <w:szCs w:val="24"/>
          <w:lang w:eastAsia="zh-CN"/>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图3 敞口式氧化塘</w:t>
      </w:r>
    </w:p>
    <w:bookmarkEnd w:id="0"/>
    <w:bookmarkEnd w:id="1"/>
    <w:bookmarkEnd w:id="2"/>
    <w:bookmarkEnd w:id="3"/>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b/>
          <w:bCs/>
          <w:color w:val="000000" w:themeColor="text1"/>
          <w:sz w:val="28"/>
          <w:szCs w:val="28"/>
          <w:lang w:val="en-US" w:eastAsia="zh-CN"/>
          <w14:textFill>
            <w14:solidFill>
              <w14:schemeClr w14:val="tx1"/>
            </w14:solidFill>
          </w14:textFill>
        </w:rPr>
        <w:t>4.输送管道和运输车辆。</w:t>
      </w:r>
      <w:r>
        <w:rPr>
          <w:rFonts w:hint="eastAsia" w:ascii="仿宋_GB2312" w:hAnsi="Times New Roman" w:eastAsia="仿宋_GB2312"/>
          <w:color w:val="000000" w:themeColor="text1"/>
          <w:sz w:val="28"/>
          <w:szCs w:val="28"/>
          <w:lang w:val="en-US" w:eastAsia="zh-CN"/>
          <w14:textFill>
            <w14:solidFill>
              <w14:schemeClr w14:val="tx1"/>
            </w14:solidFill>
          </w14:textFill>
        </w:rPr>
        <w:t>农田离猪场较近的，宜采用管道输送，应按流量、扬程、输送距离建设输送管道，输送距离超过1000m需增加带切割装置的水泵等加压设施，在水泵前端位置加设一道间隙为10～15mm的格栅。农田离猪场较远的，宜采用车辆运输，根据农田面积、路况条件选择适合的运输车辆，一般以5～20m</w:t>
      </w:r>
      <w:r>
        <w:rPr>
          <w:rFonts w:hint="eastAsia" w:ascii="仿宋_GB2312" w:hAnsi="Times New Roman" w:eastAsia="仿宋_GB2312"/>
          <w:color w:val="000000" w:themeColor="text1"/>
          <w:sz w:val="28"/>
          <w:szCs w:val="28"/>
          <w:vertAlign w:val="superscript"/>
          <w:lang w:val="en-US" w:eastAsia="zh-CN"/>
          <w14:textFill>
            <w14:solidFill>
              <w14:schemeClr w14:val="tx1"/>
            </w14:solidFill>
          </w14:textFill>
        </w:rPr>
        <w:t>3</w:t>
      </w:r>
      <w:r>
        <w:rPr>
          <w:rFonts w:hint="eastAsia" w:ascii="仿宋_GB2312" w:hAnsi="Times New Roman" w:eastAsia="仿宋_GB2312"/>
          <w:color w:val="000000" w:themeColor="text1"/>
          <w:sz w:val="28"/>
          <w:szCs w:val="28"/>
          <w:lang w:val="en-US" w:eastAsia="zh-CN"/>
          <w14:textFill>
            <w14:solidFill>
              <w14:schemeClr w14:val="tx1"/>
            </w14:solidFill>
          </w14:textFill>
        </w:rPr>
        <w:t>为宜，应采用密封性好的罐体运输车辆，避免运输过程中气味散发和液体外溢。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b/>
          <w:bCs/>
          <w:color w:val="000000" w:themeColor="text1"/>
          <w:sz w:val="28"/>
          <w:szCs w:val="28"/>
          <w:lang w:val="en-US" w:eastAsia="zh-CN"/>
          <w14:textFill>
            <w14:solidFill>
              <w14:schemeClr w14:val="tx1"/>
            </w14:solidFill>
          </w14:textFill>
        </w:rPr>
        <w:t>5.田间贮存池。</w:t>
      </w:r>
      <w:r>
        <w:rPr>
          <w:rFonts w:hint="eastAsia" w:ascii="仿宋_GB2312" w:hAnsi="Times New Roman" w:eastAsia="仿宋_GB2312"/>
          <w:b w:val="0"/>
          <w:bCs w:val="0"/>
          <w:color w:val="000000" w:themeColor="text1"/>
          <w:sz w:val="28"/>
          <w:szCs w:val="28"/>
          <w:lang w:val="en-US" w:eastAsia="zh-CN"/>
          <w14:textFill>
            <w14:solidFill>
              <w14:schemeClr w14:val="tx1"/>
            </w14:solidFill>
          </w14:textFill>
        </w:rPr>
        <w:t>配套农田处应建设</w:t>
      </w:r>
      <w:r>
        <w:rPr>
          <w:rFonts w:hint="eastAsia" w:ascii="仿宋_GB2312" w:hAnsi="Times New Roman" w:eastAsia="仿宋_GB2312"/>
          <w:color w:val="000000" w:themeColor="text1"/>
          <w:sz w:val="28"/>
          <w:szCs w:val="28"/>
          <w:lang w:val="en-US" w:eastAsia="zh-CN"/>
          <w14:textFill>
            <w14:solidFill>
              <w14:schemeClr w14:val="tx1"/>
            </w14:solidFill>
          </w14:textFill>
        </w:rPr>
        <w:t>田间贮存池，其数量、位置和总容积应根据农田分布、面积、作物种类等情况确定；田间贮存池应防渗漏，配置阀门、泵、流量计和管道等设备，设置围栏和安全警示标志，不得设于河流、湖泊和水库旁。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drawing>
          <wp:inline distT="0" distB="0" distL="114300" distR="114300">
            <wp:extent cx="5255895" cy="3504565"/>
            <wp:effectExtent l="0" t="0" r="1905" b="635"/>
            <wp:docPr id="8" name="图片 8" descr="山顶沼液池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山顶沼液池1"/>
                    <pic:cNvPicPr>
                      <a:picLocks noChangeAspect="true"/>
                    </pic:cNvPicPr>
                  </pic:nvPicPr>
                  <pic:blipFill>
                    <a:blip r:embed="rId8"/>
                    <a:stretch>
                      <a:fillRect/>
                    </a:stretch>
                  </pic:blipFill>
                  <pic:spPr>
                    <a:xfrm>
                      <a:off x="0" y="0"/>
                      <a:ext cx="5255895" cy="35045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图4 田间贮存池</w:t>
      </w:r>
    </w:p>
    <w:p>
      <w:pPr>
        <w:keepNext w:val="0"/>
        <w:keepLines w:val="0"/>
        <w:pageBreakBefore w:val="0"/>
        <w:kinsoku/>
        <w:wordWrap/>
        <w:overflowPunct/>
        <w:topLinePunct w:val="0"/>
        <w:bidi w:val="0"/>
        <w:adjustRightInd/>
        <w:snapToGrid/>
        <w:spacing w:line="240" w:lineRule="auto"/>
        <w:ind w:firstLine="642" w:firstLineChars="200"/>
        <w:textAlignment w:val="auto"/>
        <w:rPr>
          <w:rFonts w:hint="eastAsia" w:ascii="楷体_GB2312" w:hAnsi="楷体" w:eastAsia="楷体_GB2312"/>
          <w:b/>
          <w:bCs/>
          <w:color w:val="000000" w:themeColor="text1"/>
          <w:sz w:val="32"/>
          <w:szCs w:val="32"/>
          <w:lang w:eastAsia="zh-CN"/>
          <w14:textFill>
            <w14:solidFill>
              <w14:schemeClr w14:val="tx1"/>
            </w14:solidFill>
          </w14:textFill>
        </w:rPr>
      </w:pPr>
      <w:r>
        <w:rPr>
          <w:rFonts w:hint="eastAsia" w:ascii="楷体_GB2312" w:hAnsi="楷体" w:eastAsia="楷体_GB2312"/>
          <w:b/>
          <w:bCs/>
          <w:color w:val="000000" w:themeColor="text1"/>
          <w:sz w:val="32"/>
          <w:szCs w:val="32"/>
          <w14:textFill>
            <w14:solidFill>
              <w14:schemeClr w14:val="tx1"/>
            </w14:solidFill>
          </w14:textFill>
        </w:rPr>
        <w:t>（二）</w:t>
      </w:r>
      <w:r>
        <w:rPr>
          <w:rFonts w:hint="eastAsia" w:ascii="楷体_GB2312" w:hAnsi="楷体" w:eastAsia="楷体_GB2312"/>
          <w:b/>
          <w:bCs/>
          <w:color w:val="000000" w:themeColor="text1"/>
          <w:sz w:val="32"/>
          <w:szCs w:val="32"/>
          <w:lang w:eastAsia="zh-CN"/>
          <w14:textFill>
            <w14:solidFill>
              <w14:schemeClr w14:val="tx1"/>
            </w14:solidFill>
          </w14:textFill>
        </w:rPr>
        <w:t>收集与储运</w:t>
      </w:r>
    </w:p>
    <w:p>
      <w:pPr>
        <w:pStyle w:val="2"/>
        <w:keepNext w:val="0"/>
        <w:keepLines w:val="0"/>
        <w:pageBreakBefore w:val="0"/>
        <w:kinsoku/>
        <w:wordWrap/>
        <w:overflowPunct/>
        <w:topLinePunct w:val="0"/>
        <w:bidi w:val="0"/>
        <w:adjustRightInd/>
        <w:snapToGrid/>
        <w:spacing w:after="0" w:line="240" w:lineRule="auto"/>
        <w:ind w:firstLine="560" w:firstLineChars="200"/>
        <w:textAlignment w:val="auto"/>
        <w:rPr>
          <w:rFonts w:hint="eastAsia"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1.猪场采取水泡粪、尿泡粪、机械清粪和水冲粪等方式对粪污（粪便、尿液和污水）进行全量收集。</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560" w:firstLineChars="200"/>
        <w:textAlignment w:val="auto"/>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2.</w:t>
      </w: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采用水泡粪或者尿泡粪的，舍内收集池预储存 8 cm～10 cm 深的水，粪污通过漏缝地板落入舍内收集池，在池内停留2～3个月后经过收集管道进入厌氧发酵池或氧化塘；采用机械清粪或者水冲粪的，粪污被清到舍外收集池，再通过收集管道入到厌氧发酵池或氧化塘。</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560" w:firstLineChars="200"/>
        <w:textAlignment w:val="auto"/>
        <w:rPr>
          <w:rFonts w:hint="eastAsia" w:ascii="楷体_GB2312" w:hAnsi="楷体" w:eastAsia="楷体_GB2312"/>
          <w:b/>
          <w:bCs/>
          <w:color w:val="000000" w:themeColor="text1"/>
          <w:sz w:val="32"/>
          <w:szCs w:val="32"/>
          <w:lang w:eastAsia="zh-CN"/>
          <w14:textFill>
            <w14:solidFill>
              <w14:schemeClr w14:val="tx1"/>
            </w14:solidFill>
          </w14:textFill>
        </w:rPr>
      </w:pP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3.</w:t>
      </w:r>
      <w:r>
        <w:rPr>
          <w:rFonts w:hint="eastAsia" w:ascii="仿宋_GB2312" w:hAnsi="Times New Roman" w:eastAsia="仿宋_GB2312"/>
          <w:color w:val="000000" w:themeColor="text1"/>
          <w:sz w:val="28"/>
          <w:szCs w:val="28"/>
          <w:lang w:val="en-US" w:eastAsia="zh-CN"/>
          <w14:textFill>
            <w14:solidFill>
              <w14:schemeClr w14:val="tx1"/>
            </w14:solidFill>
          </w14:textFill>
        </w:rPr>
        <w:t>粪污经</w:t>
      </w: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厌氧发酵池或氧化塘</w:t>
      </w:r>
      <w:r>
        <w:rPr>
          <w:rFonts w:hint="eastAsia" w:ascii="仿宋_GB2312" w:hAnsi="Times New Roman" w:eastAsia="仿宋_GB2312"/>
          <w:color w:val="000000" w:themeColor="text1"/>
          <w:sz w:val="28"/>
          <w:szCs w:val="28"/>
          <w:lang w:val="en-US" w:eastAsia="zh-CN"/>
          <w14:textFill>
            <w14:solidFill>
              <w14:schemeClr w14:val="tx1"/>
            </w14:solidFill>
          </w14:textFill>
        </w:rPr>
        <w:t>无害化处理后通过输送管道或者运输车辆送到田间贮存池。</w:t>
      </w:r>
    </w:p>
    <w:p>
      <w:pPr>
        <w:keepNext w:val="0"/>
        <w:keepLines w:val="0"/>
        <w:pageBreakBefore w:val="0"/>
        <w:kinsoku/>
        <w:wordWrap/>
        <w:overflowPunct/>
        <w:topLinePunct w:val="0"/>
        <w:bidi w:val="0"/>
        <w:adjustRightInd/>
        <w:snapToGrid/>
        <w:spacing w:line="240" w:lineRule="auto"/>
        <w:ind w:firstLine="642" w:firstLineChars="200"/>
        <w:textAlignment w:val="auto"/>
        <w:rPr>
          <w:rFonts w:hint="eastAsia" w:ascii="楷体_GB2312" w:hAnsi="楷体" w:eastAsia="楷体_GB2312"/>
          <w:b/>
          <w:bCs/>
          <w:color w:val="000000" w:themeColor="text1"/>
          <w:sz w:val="32"/>
          <w:szCs w:val="32"/>
          <w:lang w:eastAsia="zh-CN"/>
          <w14:textFill>
            <w14:solidFill>
              <w14:schemeClr w14:val="tx1"/>
            </w14:solidFill>
          </w14:textFill>
        </w:rPr>
      </w:pPr>
      <w:r>
        <w:rPr>
          <w:rFonts w:hint="eastAsia" w:ascii="楷体_GB2312" w:hAnsi="楷体" w:eastAsia="楷体_GB2312"/>
          <w:b/>
          <w:bCs/>
          <w:color w:val="000000" w:themeColor="text1"/>
          <w:sz w:val="32"/>
          <w:szCs w:val="32"/>
          <w14:textFill>
            <w14:solidFill>
              <w14:schemeClr w14:val="tx1"/>
            </w14:solidFill>
          </w14:textFill>
        </w:rPr>
        <w:t>（</w:t>
      </w:r>
      <w:r>
        <w:rPr>
          <w:rFonts w:hint="eastAsia" w:ascii="楷体_GB2312" w:hAnsi="楷体" w:eastAsia="楷体_GB2312"/>
          <w:b/>
          <w:bCs/>
          <w:color w:val="000000" w:themeColor="text1"/>
          <w:sz w:val="32"/>
          <w:szCs w:val="32"/>
          <w:lang w:eastAsia="zh-CN"/>
          <w14:textFill>
            <w14:solidFill>
              <w14:schemeClr w14:val="tx1"/>
            </w14:solidFill>
          </w14:textFill>
        </w:rPr>
        <w:t>三</w:t>
      </w:r>
      <w:r>
        <w:rPr>
          <w:rFonts w:hint="eastAsia" w:ascii="楷体_GB2312" w:hAnsi="楷体" w:eastAsia="楷体_GB2312"/>
          <w:b/>
          <w:bCs/>
          <w:color w:val="000000" w:themeColor="text1"/>
          <w:sz w:val="32"/>
          <w:szCs w:val="32"/>
          <w14:textFill>
            <w14:solidFill>
              <w14:schemeClr w14:val="tx1"/>
            </w14:solidFill>
          </w14:textFill>
        </w:rPr>
        <w:t>）</w:t>
      </w:r>
      <w:r>
        <w:rPr>
          <w:rFonts w:hint="eastAsia" w:ascii="楷体_GB2312" w:hAnsi="楷体" w:eastAsia="楷体_GB2312"/>
          <w:b/>
          <w:bCs/>
          <w:color w:val="000000" w:themeColor="text1"/>
          <w:sz w:val="32"/>
          <w:szCs w:val="32"/>
          <w:lang w:eastAsia="zh-CN"/>
          <w14:textFill>
            <w14:solidFill>
              <w14:schemeClr w14:val="tx1"/>
            </w14:solidFill>
          </w14:textFill>
        </w:rPr>
        <w:t>无害化处理</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560" w:firstLineChars="200"/>
        <w:textAlignment w:val="auto"/>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1.采用“氧化塘贮存发酵”工艺的，粪污直接流入氧化塘，密封式氧化塘的贮存时间不少于90天，敞口式氧化塘的贮存时间不少于180天。</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560" w:firstLineChars="200"/>
        <w:textAlignment w:val="auto"/>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2.采用“厌氧发酵池+氧化塘贮存发酵”工艺的，粪污先流入厌氧发酵池，在厌氧发酵池内发酵后自然流入氧化塘进行贮存，贮存时间应不少于60 d。</w:t>
      </w:r>
    </w:p>
    <w:p>
      <w:pPr>
        <w:keepNext w:val="0"/>
        <w:keepLines w:val="0"/>
        <w:pageBreakBefore w:val="0"/>
        <w:kinsoku/>
        <w:wordWrap/>
        <w:overflowPunct/>
        <w:topLinePunct w:val="0"/>
        <w:bidi w:val="0"/>
        <w:adjustRightInd/>
        <w:snapToGrid/>
        <w:spacing w:line="240" w:lineRule="auto"/>
        <w:ind w:firstLine="642" w:firstLineChars="200"/>
        <w:textAlignment w:val="auto"/>
        <w:rPr>
          <w:rFonts w:hint="eastAsia" w:ascii="楷体_GB2312" w:hAnsi="楷体" w:eastAsia="楷体_GB2312"/>
          <w:b/>
          <w:bCs/>
          <w:color w:val="000000" w:themeColor="text1"/>
          <w:sz w:val="32"/>
          <w:szCs w:val="32"/>
          <w:lang w:eastAsia="zh-CN"/>
          <w14:textFill>
            <w14:solidFill>
              <w14:schemeClr w14:val="tx1"/>
            </w14:solidFill>
          </w14:textFill>
        </w:rPr>
      </w:pPr>
      <w:r>
        <w:rPr>
          <w:rFonts w:hint="eastAsia" w:ascii="楷体_GB2312" w:hAnsi="楷体" w:eastAsia="楷体_GB2312"/>
          <w:b/>
          <w:bCs/>
          <w:color w:val="000000" w:themeColor="text1"/>
          <w:sz w:val="32"/>
          <w:szCs w:val="32"/>
          <w14:textFill>
            <w14:solidFill>
              <w14:schemeClr w14:val="tx1"/>
            </w14:solidFill>
          </w14:textFill>
        </w:rPr>
        <w:t>（</w:t>
      </w:r>
      <w:r>
        <w:rPr>
          <w:rFonts w:hint="eastAsia" w:ascii="楷体_GB2312" w:hAnsi="楷体" w:eastAsia="楷体_GB2312"/>
          <w:b/>
          <w:bCs/>
          <w:color w:val="000000" w:themeColor="text1"/>
          <w:sz w:val="32"/>
          <w:szCs w:val="32"/>
          <w:lang w:eastAsia="zh-CN"/>
          <w14:textFill>
            <w14:solidFill>
              <w14:schemeClr w14:val="tx1"/>
            </w14:solidFill>
          </w14:textFill>
        </w:rPr>
        <w:t>四</w:t>
      </w:r>
      <w:r>
        <w:rPr>
          <w:rFonts w:hint="eastAsia" w:ascii="楷体_GB2312" w:hAnsi="楷体" w:eastAsia="楷体_GB2312"/>
          <w:b/>
          <w:bCs/>
          <w:color w:val="000000" w:themeColor="text1"/>
          <w:sz w:val="32"/>
          <w:szCs w:val="32"/>
          <w14:textFill>
            <w14:solidFill>
              <w14:schemeClr w14:val="tx1"/>
            </w14:solidFill>
          </w14:textFill>
        </w:rPr>
        <w:t>）</w:t>
      </w:r>
      <w:r>
        <w:rPr>
          <w:rFonts w:hint="eastAsia" w:ascii="楷体_GB2312" w:hAnsi="楷体" w:eastAsia="楷体_GB2312"/>
          <w:b/>
          <w:bCs/>
          <w:color w:val="000000" w:themeColor="text1"/>
          <w:sz w:val="32"/>
          <w:szCs w:val="32"/>
          <w:lang w:eastAsia="zh-CN"/>
          <w14:textFill>
            <w14:solidFill>
              <w14:schemeClr w14:val="tx1"/>
            </w14:solidFill>
          </w14:textFill>
        </w:rPr>
        <w:t>还田利用</w:t>
      </w:r>
    </w:p>
    <w:p>
      <w:pPr>
        <w:pStyle w:val="9"/>
        <w:keepNext w:val="0"/>
        <w:keepLines w:val="0"/>
        <w:pageBreakBefore w:val="0"/>
        <w:kinsoku/>
        <w:wordWrap/>
        <w:overflowPunct/>
        <w:topLinePunct w:val="0"/>
        <w:bidi w:val="0"/>
        <w:adjustRightInd/>
        <w:snapToGrid/>
        <w:spacing w:line="240" w:lineRule="auto"/>
        <w:ind w:firstLine="562" w:firstLineChars="200"/>
        <w:textAlignment w:val="auto"/>
        <w:outlineLvl w:val="2"/>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仿宋_GB2312" w:hAnsi="Times New Roman" w:eastAsia="仿宋_GB2312" w:cstheme="minorBidi"/>
          <w:b/>
          <w:bCs/>
          <w:color w:val="000000" w:themeColor="text1"/>
          <w:kern w:val="2"/>
          <w:sz w:val="28"/>
          <w:szCs w:val="28"/>
          <w:lang w:val="en-US" w:eastAsia="zh-CN" w:bidi="ar-SA"/>
          <w14:textFill>
            <w14:solidFill>
              <w14:schemeClr w14:val="tx1"/>
            </w14:solidFill>
          </w14:textFill>
        </w:rPr>
        <w:t>1.最小配套农田面积。</w:t>
      </w: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当以施用粪肥作为作物养分唯一来源时，猪场粪污全量还田需配套的最小农田面积按照作物氮磷养分的需要量确定,具体配套面积请参照表2；如作物部分施用粪肥的，需按照粪肥使用比例换算。</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 xml:space="preserve"> 表2 粪肥还田需配套的最小还田面积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_GB2312" w:hAnsi="仿宋_GB2312" w:eastAsia="仿宋_GB2312" w:cs="仿宋_GB2312"/>
          <w:kern w:val="0"/>
          <w:sz w:val="24"/>
          <w:szCs w:val="24"/>
        </w:rPr>
      </w:pPr>
      <w:r>
        <w:rPr>
          <w:rFonts w:hint="eastAsia"/>
          <w:kern w:val="0"/>
        </w:rPr>
        <w:t xml:space="preserve">                                                      </w:t>
      </w:r>
      <w:r>
        <w:rPr>
          <w:rFonts w:hint="eastAsia"/>
          <w:kern w:val="0"/>
          <w:sz w:val="18"/>
          <w:szCs w:val="18"/>
        </w:rPr>
        <w:t xml:space="preserve">        </w:t>
      </w:r>
      <w:r>
        <w:rPr>
          <w:rFonts w:hint="eastAsia" w:ascii="宋体" w:hAnsi="宋体" w:cs="宋体"/>
          <w:kern w:val="0"/>
          <w:sz w:val="24"/>
          <w:szCs w:val="24"/>
        </w:rPr>
        <w:t xml:space="preserve"> 单</w:t>
      </w:r>
      <w:r>
        <w:rPr>
          <w:rFonts w:hint="eastAsia" w:ascii="仿宋_GB2312" w:hAnsi="仿宋_GB2312" w:eastAsia="仿宋_GB2312" w:cs="仿宋_GB2312"/>
          <w:kern w:val="0"/>
          <w:sz w:val="24"/>
          <w:szCs w:val="24"/>
        </w:rPr>
        <w:t>位：667m</w:t>
      </w:r>
      <w:r>
        <w:rPr>
          <w:rFonts w:hint="eastAsia" w:ascii="仿宋_GB2312" w:hAnsi="仿宋_GB2312" w:eastAsia="仿宋_GB2312" w:cs="仿宋_GB2312"/>
          <w:kern w:val="0"/>
          <w:sz w:val="24"/>
          <w:szCs w:val="24"/>
          <w:vertAlign w:val="superscript"/>
        </w:rPr>
        <w:t>2</w:t>
      </w:r>
    </w:p>
    <w:tbl>
      <w:tblPr>
        <w:tblStyle w:val="5"/>
        <w:tblW w:w="8240" w:type="dxa"/>
        <w:jc w:val="center"/>
        <w:tblLayout w:type="fixed"/>
        <w:tblCellMar>
          <w:top w:w="0" w:type="dxa"/>
          <w:left w:w="108" w:type="dxa"/>
          <w:bottom w:w="0" w:type="dxa"/>
          <w:right w:w="108" w:type="dxa"/>
        </w:tblCellMar>
      </w:tblPr>
      <w:tblGrid>
        <w:gridCol w:w="1310"/>
        <w:gridCol w:w="1618"/>
        <w:gridCol w:w="2685"/>
        <w:gridCol w:w="2627"/>
      </w:tblGrid>
      <w:tr>
        <w:tblPrEx>
          <w:tblCellMar>
            <w:top w:w="0" w:type="dxa"/>
            <w:left w:w="108" w:type="dxa"/>
            <w:bottom w:w="0" w:type="dxa"/>
            <w:right w:w="108" w:type="dxa"/>
          </w:tblCellMar>
        </w:tblPrEx>
        <w:trPr>
          <w:trHeight w:val="477" w:hRule="atLeast"/>
          <w:jc w:val="center"/>
        </w:trPr>
        <w:tc>
          <w:tcPr>
            <w:tcW w:w="1310" w:type="dxa"/>
            <w:vMerge w:val="restart"/>
            <w:tcBorders>
              <w:top w:val="single" w:color="000000" w:sz="4" w:space="0"/>
              <w:left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作物种类</w:t>
            </w:r>
          </w:p>
        </w:tc>
        <w:tc>
          <w:tcPr>
            <w:tcW w:w="1618"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作物名称</w:t>
            </w:r>
          </w:p>
        </w:tc>
        <w:tc>
          <w:tcPr>
            <w:tcW w:w="531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1头存栏猪需要的最小还田面积（播种面积</w:t>
            </w:r>
            <w:r>
              <w:rPr>
                <w:rFonts w:hint="eastAsia" w:ascii="仿宋_GB2312" w:hAnsi="仿宋_GB2312" w:eastAsia="仿宋_GB2312" w:cs="仿宋_GB2312"/>
                <w:color w:val="000000"/>
                <w:kern w:val="0"/>
                <w:sz w:val="24"/>
                <w:szCs w:val="24"/>
                <w:lang w:eastAsia="zh-CN" w:bidi="ar"/>
              </w:rPr>
              <w:t>）</w:t>
            </w:r>
          </w:p>
        </w:tc>
      </w:tr>
      <w:tr>
        <w:tblPrEx>
          <w:tblCellMar>
            <w:top w:w="0" w:type="dxa"/>
            <w:left w:w="108" w:type="dxa"/>
            <w:bottom w:w="0" w:type="dxa"/>
            <w:right w:w="108" w:type="dxa"/>
          </w:tblCellMar>
        </w:tblPrEx>
        <w:trPr>
          <w:trHeight w:val="507" w:hRule="atLeast"/>
          <w:jc w:val="center"/>
        </w:trPr>
        <w:tc>
          <w:tcPr>
            <w:tcW w:w="1310" w:type="dxa"/>
            <w:vMerge w:val="continue"/>
            <w:tcBorders>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cs="宋体"/>
                <w:color w:val="000000"/>
                <w:sz w:val="24"/>
                <w:szCs w:val="24"/>
              </w:rPr>
            </w:pPr>
          </w:p>
        </w:tc>
        <w:tc>
          <w:tcPr>
            <w:tcW w:w="161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cs="宋体"/>
                <w:color w:val="000000"/>
                <w:sz w:val="24"/>
                <w:szCs w:val="24"/>
              </w:rPr>
            </w:pPr>
          </w:p>
        </w:tc>
        <w:tc>
          <w:tcPr>
            <w:tcW w:w="26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以氮为限量</w:t>
            </w:r>
          </w:p>
        </w:tc>
        <w:tc>
          <w:tcPr>
            <w:tcW w:w="2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以磷为限量</w:t>
            </w:r>
          </w:p>
        </w:tc>
      </w:tr>
      <w:tr>
        <w:tblPrEx>
          <w:tblCellMar>
            <w:top w:w="0" w:type="dxa"/>
            <w:left w:w="108" w:type="dxa"/>
            <w:bottom w:w="0" w:type="dxa"/>
            <w:right w:w="108" w:type="dxa"/>
          </w:tblCellMar>
        </w:tblPrEx>
        <w:trPr>
          <w:trHeight w:val="288" w:hRule="atLeast"/>
          <w:jc w:val="center"/>
        </w:trPr>
        <w:tc>
          <w:tcPr>
            <w:tcW w:w="13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粮油作物</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小麦</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0.32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0.35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水稻</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0.43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0.43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玉米</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0.38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1.06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甘薯</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0.48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0.23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大豆</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0.32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1.13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油菜</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0.71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0.31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花生</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0.91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0.37 </w:t>
            </w:r>
          </w:p>
        </w:tc>
      </w:tr>
      <w:tr>
        <w:tblPrEx>
          <w:tblCellMar>
            <w:top w:w="0" w:type="dxa"/>
            <w:left w:w="108" w:type="dxa"/>
            <w:bottom w:w="0" w:type="dxa"/>
            <w:right w:w="108" w:type="dxa"/>
          </w:tblCellMar>
        </w:tblPrEx>
        <w:trPr>
          <w:trHeight w:val="288" w:hRule="atLeast"/>
          <w:jc w:val="center"/>
        </w:trPr>
        <w:tc>
          <w:tcPr>
            <w:tcW w:w="13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蔬菜作物</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黄瓜</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0.27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0.30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番茄</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0.23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0.27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青椒</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0.25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0.41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茄子</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0.25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0.30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大白菜</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0.42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0.33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萝卜</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0.45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0.76 </w:t>
            </w:r>
          </w:p>
        </w:tc>
      </w:tr>
      <w:tr>
        <w:tblPrEx>
          <w:tblCellMar>
            <w:top w:w="0" w:type="dxa"/>
            <w:left w:w="108" w:type="dxa"/>
            <w:bottom w:w="0" w:type="dxa"/>
            <w:right w:w="108" w:type="dxa"/>
          </w:tblCellMar>
        </w:tblPrEx>
        <w:trPr>
          <w:trHeight w:val="288" w:hRule="atLeast"/>
          <w:jc w:val="center"/>
        </w:trPr>
        <w:tc>
          <w:tcPr>
            <w:tcW w:w="13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果树作物</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桃</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0.89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2.28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葡萄</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0.30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0.16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柑桔</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0.42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0.83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宽皮柑橘类</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0.34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0.47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甜橙类</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0.28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0.33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柚类</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0.21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0.26 </w:t>
            </w:r>
          </w:p>
        </w:tc>
      </w:tr>
      <w:tr>
        <w:tblPrEx>
          <w:tblCellMar>
            <w:top w:w="0" w:type="dxa"/>
            <w:left w:w="108" w:type="dxa"/>
            <w:bottom w:w="0" w:type="dxa"/>
            <w:right w:w="108" w:type="dxa"/>
          </w:tblCellMar>
        </w:tblPrEx>
        <w:trPr>
          <w:trHeight w:val="288" w:hRule="atLeast"/>
          <w:jc w:val="center"/>
        </w:trPr>
        <w:tc>
          <w:tcPr>
            <w:tcW w:w="13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饲草作物</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象草</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0.23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0.17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黑麦草</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0.47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0.34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000000"/>
                <w:sz w:val="24"/>
                <w:szCs w:val="24"/>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青贮玉米</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0.47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0.13 </w:t>
            </w:r>
          </w:p>
        </w:tc>
      </w:tr>
      <w:tr>
        <w:tblPrEx>
          <w:tblCellMar>
            <w:top w:w="0" w:type="dxa"/>
            <w:left w:w="108" w:type="dxa"/>
            <w:bottom w:w="0" w:type="dxa"/>
            <w:right w:w="108" w:type="dxa"/>
          </w:tblCellMar>
        </w:tblPrEx>
        <w:trPr>
          <w:trHeight w:val="288" w:hRule="atLeast"/>
          <w:jc w:val="center"/>
        </w:trPr>
        <w:tc>
          <w:tcPr>
            <w:tcW w:w="131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林木作物</w:t>
            </w: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杉树</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0.17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0.03 </w:t>
            </w:r>
          </w:p>
        </w:tc>
      </w:tr>
      <w:tr>
        <w:tblPrEx>
          <w:tblCellMar>
            <w:top w:w="0" w:type="dxa"/>
            <w:left w:w="108" w:type="dxa"/>
            <w:bottom w:w="0" w:type="dxa"/>
            <w:right w:w="108" w:type="dxa"/>
          </w:tblCellMar>
        </w:tblPrEx>
        <w:trPr>
          <w:trHeight w:val="288" w:hRule="atLeast"/>
          <w:jc w:val="center"/>
        </w:trPr>
        <w:tc>
          <w:tcPr>
            <w:tcW w:w="131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cs="宋体"/>
                <w:color w:val="000000"/>
                <w:sz w:val="18"/>
                <w:szCs w:val="18"/>
              </w:rPr>
            </w:pPr>
          </w:p>
        </w:tc>
        <w:tc>
          <w:tcPr>
            <w:tcW w:w="16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cs="宋体"/>
                <w:color w:val="000000"/>
                <w:sz w:val="18"/>
                <w:szCs w:val="18"/>
              </w:rPr>
            </w:pPr>
            <w:r>
              <w:rPr>
                <w:rFonts w:hint="eastAsia" w:ascii="仿宋_GB2312" w:hAnsi="仿宋_GB2312" w:eastAsia="仿宋_GB2312" w:cs="仿宋_GB2312"/>
                <w:color w:val="000000"/>
                <w:kern w:val="0"/>
                <w:sz w:val="24"/>
                <w:szCs w:val="24"/>
                <w:lang w:bidi="ar"/>
              </w:rPr>
              <w:t>油茶</w:t>
            </w:r>
          </w:p>
        </w:tc>
        <w:tc>
          <w:tcPr>
            <w:tcW w:w="26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0.17 </w:t>
            </w:r>
          </w:p>
        </w:tc>
        <w:tc>
          <w:tcPr>
            <w:tcW w:w="26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b w:val="0"/>
                <w:bCs w:val="0"/>
                <w:i w:val="0"/>
                <w:iCs w:val="0"/>
                <w:color w:val="000000"/>
                <w:kern w:val="0"/>
                <w:sz w:val="24"/>
                <w:szCs w:val="24"/>
                <w:u w:val="none"/>
                <w:lang w:val="en-US" w:eastAsia="zh-CN" w:bidi="ar"/>
              </w:rPr>
              <w:t xml:space="preserve">0.05 </w:t>
            </w:r>
          </w:p>
        </w:tc>
      </w:tr>
    </w:tbl>
    <w:p>
      <w:pPr>
        <w:pStyle w:val="10"/>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firstLine="562" w:firstLineChars="200"/>
        <w:textAlignment w:val="auto"/>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仿宋_GB2312" w:hAnsi="Times New Roman" w:eastAsia="仿宋_GB2312" w:cstheme="minorBidi"/>
          <w:b/>
          <w:bCs/>
          <w:color w:val="000000" w:themeColor="text1"/>
          <w:kern w:val="2"/>
          <w:sz w:val="28"/>
          <w:szCs w:val="28"/>
          <w:lang w:val="en-US" w:eastAsia="zh-CN" w:bidi="ar-SA"/>
          <w14:textFill>
            <w14:solidFill>
              <w14:schemeClr w14:val="tx1"/>
            </w14:solidFill>
          </w14:textFill>
        </w:rPr>
        <w:t>2.施用量。</w:t>
      </w: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粪肥还田施用前，应对粪肥中的全氮、全磷进行测定。  根据作物氮、磷养分需求量分别计算粪肥施用量，取两者的最小值。  当粪肥作为作物养分唯一来源时，每茬作物粪肥最大施用量参照表3。</w:t>
      </w:r>
    </w:p>
    <w:p>
      <w:pPr>
        <w:pStyle w:val="9"/>
        <w:ind w:left="0" w:leftChars="0" w:firstLine="0" w:firstLine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表3 各类作物单位面积每茬粪肥最大施用量</w:t>
      </w:r>
    </w:p>
    <w:p>
      <w:pPr>
        <w:pStyle w:val="9"/>
        <w:rPr>
          <w:rFonts w:hint="eastAsia"/>
          <w:sz w:val="24"/>
          <w:szCs w:val="24"/>
          <w:lang w:val="en-US" w:eastAsia="zh-CN"/>
        </w:rPr>
      </w:pPr>
      <w:r>
        <w:rPr>
          <w:rFonts w:hint="eastAsia"/>
          <w:lang w:val="en-US" w:eastAsia="zh-CN"/>
        </w:rPr>
        <w:t xml:space="preserve">                                                    </w:t>
      </w:r>
      <w:r>
        <w:rPr>
          <w:rFonts w:hint="eastAsia"/>
          <w:sz w:val="24"/>
          <w:szCs w:val="24"/>
          <w:lang w:val="en-US" w:eastAsia="zh-CN"/>
        </w:rPr>
        <w:t>单位：m</w:t>
      </w:r>
      <w:r>
        <w:rPr>
          <w:rFonts w:hint="eastAsia"/>
          <w:sz w:val="24"/>
          <w:szCs w:val="24"/>
          <w:vertAlign w:val="superscript"/>
          <w:lang w:val="en-US" w:eastAsia="zh-CN"/>
        </w:rPr>
        <w:t>3</w:t>
      </w:r>
      <w:r>
        <w:rPr>
          <w:rFonts w:hint="eastAsia"/>
          <w:sz w:val="24"/>
          <w:szCs w:val="24"/>
          <w:lang w:val="en-US" w:eastAsia="zh-CN"/>
        </w:rPr>
        <w:t>/667m</w:t>
      </w:r>
      <w:r>
        <w:rPr>
          <w:rFonts w:hint="eastAsia"/>
          <w:sz w:val="24"/>
          <w:szCs w:val="24"/>
          <w:vertAlign w:val="superscript"/>
          <w:lang w:val="en-US" w:eastAsia="zh-CN"/>
        </w:rPr>
        <w:t>2</w:t>
      </w:r>
    </w:p>
    <w:tbl>
      <w:tblPr>
        <w:tblStyle w:val="5"/>
        <w:tblW w:w="7096" w:type="dxa"/>
        <w:jc w:val="center"/>
        <w:tblLayout w:type="fixed"/>
        <w:tblCellMar>
          <w:top w:w="0" w:type="dxa"/>
          <w:left w:w="108" w:type="dxa"/>
          <w:bottom w:w="0" w:type="dxa"/>
          <w:right w:w="108" w:type="dxa"/>
        </w:tblCellMar>
      </w:tblPr>
      <w:tblGrid>
        <w:gridCol w:w="1656"/>
        <w:gridCol w:w="2635"/>
        <w:gridCol w:w="2805"/>
      </w:tblGrid>
      <w:tr>
        <w:tblPrEx>
          <w:tblCellMar>
            <w:top w:w="0" w:type="dxa"/>
            <w:left w:w="108" w:type="dxa"/>
            <w:bottom w:w="0" w:type="dxa"/>
            <w:right w:w="108" w:type="dxa"/>
          </w:tblCellMar>
        </w:tblPrEx>
        <w:trPr>
          <w:trHeight w:val="414" w:hRule="atLeast"/>
          <w:jc w:val="center"/>
        </w:trPr>
        <w:tc>
          <w:tcPr>
            <w:tcW w:w="1656" w:type="dxa"/>
            <w:tcBorders>
              <w:top w:val="single" w:color="000000" w:sz="4" w:space="0"/>
              <w:left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作物种类</w:t>
            </w:r>
          </w:p>
        </w:tc>
        <w:tc>
          <w:tcPr>
            <w:tcW w:w="2635" w:type="dxa"/>
            <w:tcBorders>
              <w:top w:val="single" w:color="000000" w:sz="4" w:space="0"/>
              <w:left w:val="single" w:color="000000" w:sz="4" w:space="0"/>
              <w:right w:val="single" w:color="000000" w:sz="4" w:space="0"/>
            </w:tcBorders>
            <w:noWrap w:val="0"/>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作物名称</w:t>
            </w:r>
          </w:p>
        </w:tc>
        <w:tc>
          <w:tcPr>
            <w:tcW w:w="2805" w:type="dxa"/>
            <w:tcBorders>
              <w:top w:val="single" w:color="000000" w:sz="4" w:space="0"/>
              <w:left w:val="single" w:color="000000" w:sz="4" w:space="0"/>
              <w:bottom w:val="single" w:color="000000" w:sz="4" w:space="0"/>
              <w:right w:val="single" w:color="000000" w:sz="4" w:space="0"/>
            </w:tcBorders>
            <w:noWrap w:val="0"/>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每茬粪肥最大施用量</w:t>
            </w:r>
          </w:p>
        </w:tc>
      </w:tr>
      <w:tr>
        <w:tblPrEx>
          <w:tblCellMar>
            <w:top w:w="0" w:type="dxa"/>
            <w:left w:w="108" w:type="dxa"/>
            <w:bottom w:w="0" w:type="dxa"/>
            <w:right w:w="108" w:type="dxa"/>
          </w:tblCellMar>
        </w:tblPrEx>
        <w:trPr>
          <w:trHeight w:val="287" w:hRule="atLeast"/>
          <w:jc w:val="center"/>
        </w:trPr>
        <w:tc>
          <w:tcPr>
            <w:tcW w:w="1656" w:type="dxa"/>
            <w:vMerge w:val="restart"/>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粮油作物</w:t>
            </w: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小麦</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10.4</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水稻</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8.5</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玉米</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3.4</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甘薯</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7.5</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大豆</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3.2</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油菜</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5.1</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花生</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4.0</w:t>
            </w:r>
          </w:p>
        </w:tc>
      </w:tr>
      <w:tr>
        <w:tblPrEx>
          <w:tblCellMar>
            <w:top w:w="0" w:type="dxa"/>
            <w:left w:w="108" w:type="dxa"/>
            <w:bottom w:w="0" w:type="dxa"/>
            <w:right w:w="108" w:type="dxa"/>
          </w:tblCellMar>
        </w:tblPrEx>
        <w:trPr>
          <w:trHeight w:val="288" w:hRule="atLeast"/>
          <w:jc w:val="center"/>
        </w:trPr>
        <w:tc>
          <w:tcPr>
            <w:tcW w:w="1656" w:type="dxa"/>
            <w:vMerge w:val="restart"/>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蔬菜作物</w:t>
            </w: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黄瓜</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12.0</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番茄</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13.3</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青椒</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8.8</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茄子</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12.0</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大白菜</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8.8</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萝卜</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4.8</w:t>
            </w:r>
          </w:p>
        </w:tc>
      </w:tr>
      <w:tr>
        <w:tblPrEx>
          <w:tblCellMar>
            <w:top w:w="0" w:type="dxa"/>
            <w:left w:w="108" w:type="dxa"/>
            <w:bottom w:w="0" w:type="dxa"/>
            <w:right w:w="108" w:type="dxa"/>
          </w:tblCellMar>
        </w:tblPrEx>
        <w:trPr>
          <w:trHeight w:val="288" w:hRule="atLeast"/>
          <w:jc w:val="center"/>
        </w:trPr>
        <w:tc>
          <w:tcPr>
            <w:tcW w:w="1656" w:type="dxa"/>
            <w:vMerge w:val="restart"/>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果树作物</w:t>
            </w: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桃</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1.6</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葡萄</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12.0</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柑桔</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4.4</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宽皮柑橘类</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7.8</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甜橙类</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10.9</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柚类</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14.0</w:t>
            </w:r>
          </w:p>
        </w:tc>
      </w:tr>
      <w:tr>
        <w:tblPrEx>
          <w:tblCellMar>
            <w:top w:w="0" w:type="dxa"/>
            <w:left w:w="108" w:type="dxa"/>
            <w:bottom w:w="0" w:type="dxa"/>
            <w:right w:w="108" w:type="dxa"/>
          </w:tblCellMar>
        </w:tblPrEx>
        <w:trPr>
          <w:trHeight w:val="288" w:hRule="atLeast"/>
          <w:jc w:val="center"/>
        </w:trPr>
        <w:tc>
          <w:tcPr>
            <w:tcW w:w="1656" w:type="dxa"/>
            <w:vMerge w:val="restart"/>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饲草作物</w:t>
            </w: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象草</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15.6</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黑麦草</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7.8</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青贮玉米</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7.8</w:t>
            </w:r>
          </w:p>
        </w:tc>
      </w:tr>
      <w:tr>
        <w:tblPrEx>
          <w:tblCellMar>
            <w:top w:w="0" w:type="dxa"/>
            <w:left w:w="108" w:type="dxa"/>
            <w:bottom w:w="0" w:type="dxa"/>
            <w:right w:w="108" w:type="dxa"/>
          </w:tblCellMar>
        </w:tblPrEx>
        <w:trPr>
          <w:trHeight w:val="288" w:hRule="atLeast"/>
          <w:jc w:val="center"/>
        </w:trPr>
        <w:tc>
          <w:tcPr>
            <w:tcW w:w="1656" w:type="dxa"/>
            <w:vMerge w:val="restart"/>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林木作物</w:t>
            </w: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杉树</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21.4</w:t>
            </w:r>
          </w:p>
        </w:tc>
      </w:tr>
      <w:tr>
        <w:tblPrEx>
          <w:tblCellMar>
            <w:top w:w="0" w:type="dxa"/>
            <w:left w:w="108" w:type="dxa"/>
            <w:bottom w:w="0" w:type="dxa"/>
            <w:right w:w="108" w:type="dxa"/>
          </w:tblCellMar>
        </w:tblPrEx>
        <w:trPr>
          <w:trHeight w:val="288" w:hRule="atLeast"/>
          <w:jc w:val="center"/>
        </w:trPr>
        <w:tc>
          <w:tcPr>
            <w:tcW w:w="1656"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仿宋_GB2312" w:cs="Times New Roman"/>
                <w:sz w:val="24"/>
                <w:szCs w:val="24"/>
                <w:lang w:val="en-US" w:eastAsia="zh-CN"/>
              </w:rPr>
            </w:pPr>
          </w:p>
        </w:tc>
        <w:tc>
          <w:tcPr>
            <w:tcW w:w="263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油茶</w:t>
            </w:r>
          </w:p>
        </w:tc>
        <w:tc>
          <w:tcPr>
            <w:tcW w:w="2805" w:type="dxa"/>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21.1</w:t>
            </w:r>
          </w:p>
        </w:tc>
      </w:tr>
      <w:tr>
        <w:tblPrEx>
          <w:tblCellMar>
            <w:top w:w="0" w:type="dxa"/>
            <w:left w:w="108" w:type="dxa"/>
            <w:bottom w:w="0" w:type="dxa"/>
            <w:right w:w="108" w:type="dxa"/>
          </w:tblCellMar>
        </w:tblPrEx>
        <w:trPr>
          <w:trHeight w:val="587" w:hRule="atLeast"/>
          <w:jc w:val="center"/>
        </w:trPr>
        <w:tc>
          <w:tcPr>
            <w:tcW w:w="7096" w:type="dxa"/>
            <w:gridSpan w:val="3"/>
            <w:tcBorders>
              <w:top w:val="single" w:color="000000" w:sz="4" w:space="0"/>
              <w:left w:val="single" w:color="000000" w:sz="4" w:space="0"/>
              <w:bottom w:val="single" w:color="000000" w:sz="4" w:space="0"/>
              <w:right w:val="single" w:color="000000" w:sz="4" w:space="0"/>
            </w:tcBorders>
            <w:noWrap/>
            <w:vAlign w:val="center"/>
          </w:tcPr>
          <w:p>
            <w:pPr>
              <w:pStyle w:val="9"/>
              <w:keepNext w:val="0"/>
              <w:keepLines w:val="0"/>
              <w:pageBreakBefore w:val="0"/>
              <w:widowControl/>
              <w:kinsoku/>
              <w:wordWrap/>
              <w:overflowPunct/>
              <w:topLinePunct w:val="0"/>
              <w:autoSpaceDE w:val="0"/>
              <w:autoSpaceDN w:val="0"/>
              <w:bidi w:val="0"/>
              <w:adjustRightInd/>
              <w:snapToGrid/>
              <w:spacing w:line="360" w:lineRule="exact"/>
              <w:ind w:left="0" w:leftChars="0" w:firstLine="0" w:firstLineChars="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注：果树、林木等多年生作物为每年最大施用量。</w:t>
            </w:r>
          </w:p>
        </w:tc>
      </w:tr>
    </w:tbl>
    <w:p>
      <w:pPr>
        <w:pStyle w:val="9"/>
        <w:rPr>
          <w:rFonts w:hint="eastAsia"/>
          <w:lang w:val="en-US" w:eastAsia="zh-CN"/>
        </w:rPr>
      </w:pPr>
    </w:p>
    <w:p>
      <w:pPr>
        <w:pStyle w:val="10"/>
        <w:keepNext w:val="0"/>
        <w:keepLines w:val="0"/>
        <w:pageBreakBefore w:val="0"/>
        <w:numPr>
          <w:ilvl w:val="0"/>
          <w:numId w:val="0"/>
        </w:numPr>
        <w:kinsoku/>
        <w:wordWrap/>
        <w:overflowPunct/>
        <w:topLinePunct w:val="0"/>
        <w:autoSpaceDE/>
        <w:autoSpaceDN/>
        <w:bidi w:val="0"/>
        <w:adjustRightInd/>
        <w:snapToGrid/>
        <w:spacing w:before="0" w:beforeLines="0" w:after="0" w:afterLines="0"/>
        <w:ind w:firstLine="562" w:firstLineChars="200"/>
        <w:textAlignment w:val="auto"/>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仿宋_GB2312" w:hAnsi="Times New Roman" w:eastAsia="仿宋_GB2312" w:cstheme="minorBidi"/>
          <w:b/>
          <w:bCs/>
          <w:color w:val="000000" w:themeColor="text1"/>
          <w:kern w:val="2"/>
          <w:sz w:val="28"/>
          <w:szCs w:val="28"/>
          <w:lang w:val="en-US" w:eastAsia="zh-CN" w:bidi="ar-SA"/>
          <w14:textFill>
            <w14:solidFill>
              <w14:schemeClr w14:val="tx1"/>
            </w14:solidFill>
          </w14:textFill>
        </w:rPr>
        <w:t>3.施用方法。</w:t>
      </w:r>
      <w:r>
        <w:rPr>
          <w:rFonts w:hint="eastAsia" w:ascii="仿宋_GB2312" w:hAnsi="Times New Roman" w:eastAsia="仿宋_GB2312" w:cstheme="minorBidi"/>
          <w:color w:val="000000" w:themeColor="text1"/>
          <w:kern w:val="2"/>
          <w:sz w:val="28"/>
          <w:szCs w:val="28"/>
          <w:lang w:val="en-US" w:eastAsia="zh-CN" w:bidi="ar-SA"/>
          <w14:textFill>
            <w14:solidFill>
              <w14:schemeClr w14:val="tx1"/>
            </w14:solidFill>
          </w14:textFill>
        </w:rPr>
        <w:t>采用管灌、滴灌、沟灌、注射式深施等方式施用，应符合GB/T 25246相关要求。</w:t>
      </w:r>
    </w:p>
    <w:p>
      <w:pPr>
        <w:pStyle w:val="9"/>
        <w:ind w:left="0" w:leftChars="0" w:firstLine="0" w:firstLineChars="0"/>
        <w:rPr>
          <w:rFonts w:hint="eastAsia"/>
          <w:lang w:val="en-US" w:eastAsia="zh-CN"/>
        </w:rPr>
      </w:pPr>
      <w:r>
        <w:rPr>
          <w:rFonts w:hint="eastAsia"/>
          <w:lang w:val="en-US" w:eastAsia="zh-CN"/>
        </w:rPr>
        <w:drawing>
          <wp:inline distT="0" distB="0" distL="114300" distR="114300">
            <wp:extent cx="5255895" cy="2954655"/>
            <wp:effectExtent l="0" t="0" r="1905" b="17145"/>
            <wp:docPr id="7" name="图片 7" descr="猪-沼-果-草循环模式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猪-沼-果-草循环模式1"/>
                    <pic:cNvPicPr>
                      <a:picLocks noChangeAspect="true"/>
                    </pic:cNvPicPr>
                  </pic:nvPicPr>
                  <pic:blipFill>
                    <a:blip r:embed="rId9"/>
                    <a:stretch>
                      <a:fillRect/>
                    </a:stretch>
                  </pic:blipFill>
                  <pic:spPr>
                    <a:xfrm>
                      <a:off x="0" y="0"/>
                      <a:ext cx="5255895" cy="2954655"/>
                    </a:xfrm>
                    <a:prstGeom prst="rect">
                      <a:avLst/>
                    </a:prstGeom>
                  </pic:spPr>
                </pic:pic>
              </a:graphicData>
            </a:graphic>
          </wp:inline>
        </w:drawing>
      </w:r>
    </w:p>
    <w:p>
      <w:pPr>
        <w:pStyle w:val="9"/>
        <w:ind w:left="0" w:leftChars="0" w:firstLine="0" w:firstLineChars="0"/>
        <w:jc w:val="center"/>
        <w:rPr>
          <w:rFonts w:hint="eastAsia"/>
          <w:sz w:val="24"/>
          <w:szCs w:val="24"/>
          <w:lang w:val="en-US" w:eastAsia="zh-CN"/>
        </w:rPr>
      </w:pPr>
      <w:r>
        <w:rPr>
          <w:rFonts w:hint="eastAsia"/>
          <w:sz w:val="24"/>
          <w:szCs w:val="24"/>
          <w:lang w:val="en-US" w:eastAsia="zh-CN"/>
        </w:rPr>
        <w:t>图5 粪污全量还田（猪粪污-果-草循环模式）</w:t>
      </w:r>
    </w:p>
    <w:p>
      <w:pPr>
        <w:pStyle w:val="9"/>
        <w:ind w:left="0" w:leftChars="0" w:firstLine="0" w:firstLineChars="0"/>
        <w:jc w:val="center"/>
        <w:rPr>
          <w:rFonts w:hint="eastAsia"/>
          <w:sz w:val="24"/>
          <w:szCs w:val="24"/>
          <w:lang w:val="en-US" w:eastAsia="zh-CN"/>
        </w:rPr>
      </w:pPr>
      <w:r>
        <w:rPr>
          <w:rFonts w:hint="eastAsia"/>
          <w:sz w:val="24"/>
          <w:szCs w:val="24"/>
          <w:lang w:val="en-US" w:eastAsia="zh-CN"/>
        </w:rPr>
        <w:drawing>
          <wp:inline distT="0" distB="0" distL="114300" distR="114300">
            <wp:extent cx="5255895" cy="3753485"/>
            <wp:effectExtent l="0" t="0" r="1905" b="18415"/>
            <wp:docPr id="2" name="图片 2" descr="图6-猪粪污-油茶模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图6-猪粪污-油茶模式"/>
                    <pic:cNvPicPr>
                      <a:picLocks noChangeAspect="true"/>
                    </pic:cNvPicPr>
                  </pic:nvPicPr>
                  <pic:blipFill>
                    <a:blip r:embed="rId10"/>
                    <a:stretch>
                      <a:fillRect/>
                    </a:stretch>
                  </pic:blipFill>
                  <pic:spPr>
                    <a:xfrm>
                      <a:off x="0" y="0"/>
                      <a:ext cx="5255895" cy="3753485"/>
                    </a:xfrm>
                    <a:prstGeom prst="rect">
                      <a:avLst/>
                    </a:prstGeom>
                  </pic:spPr>
                </pic:pic>
              </a:graphicData>
            </a:graphic>
          </wp:inline>
        </w:drawing>
      </w:r>
    </w:p>
    <w:p>
      <w:pPr>
        <w:pStyle w:val="9"/>
        <w:ind w:left="0" w:leftChars="0" w:firstLine="0" w:firstLineChars="0"/>
        <w:jc w:val="center"/>
        <w:rPr>
          <w:rFonts w:hint="eastAsia"/>
          <w:sz w:val="24"/>
          <w:szCs w:val="24"/>
          <w:lang w:val="en-US" w:eastAsia="zh-CN"/>
        </w:rPr>
      </w:pPr>
      <w:r>
        <w:rPr>
          <w:rFonts w:hint="eastAsia"/>
          <w:sz w:val="24"/>
          <w:szCs w:val="24"/>
          <w:lang w:val="en-US" w:eastAsia="zh-CN"/>
        </w:rPr>
        <w:t>图6 粪污全量还田（猪粪污-油茶模式）</w:t>
      </w:r>
    </w:p>
    <w:p>
      <w:pPr>
        <w:keepNext w:val="0"/>
        <w:keepLines w:val="0"/>
        <w:pageBreakBefore w:val="0"/>
        <w:kinsoku/>
        <w:wordWrap/>
        <w:overflowPunct/>
        <w:topLinePunct w:val="0"/>
        <w:autoSpaceDE/>
        <w:autoSpaceDN/>
        <w:bidi w:val="0"/>
        <w:adjustRightInd w:val="0"/>
        <w:snapToGrid/>
        <w:spacing w:line="640" w:lineRule="exact"/>
        <w:ind w:firstLine="640"/>
        <w:textAlignment w:val="auto"/>
        <w:rPr>
          <w:rFonts w:hint="eastAsia" w:ascii="仿宋_GB2312" w:hAnsi="Times New Roman" w:eastAsia="仿宋_GB2312"/>
          <w:color w:val="000000" w:themeColor="text1"/>
          <w:sz w:val="28"/>
          <w:szCs w:val="28"/>
          <w14:textFill>
            <w14:solidFill>
              <w14:schemeClr w14:val="tx1"/>
            </w14:solidFill>
          </w14:textFill>
        </w:rPr>
      </w:pPr>
      <w:r>
        <w:rPr>
          <w:rFonts w:hint="eastAsia" w:ascii="Times New Roman" w:hAnsi="Times New Roman" w:eastAsia="黑体"/>
          <w:color w:val="000000" w:themeColor="text1"/>
          <w:sz w:val="32"/>
          <w:szCs w:val="32"/>
          <w:lang w:eastAsia="zh-CN"/>
          <w14:textFill>
            <w14:solidFill>
              <w14:schemeClr w14:val="tx1"/>
            </w14:solidFill>
          </w14:textFill>
        </w:rPr>
        <w:t>二</w:t>
      </w:r>
      <w:r>
        <w:rPr>
          <w:rFonts w:ascii="Times New Roman" w:hAnsi="Times New Roman" w:eastAsia="黑体"/>
          <w:color w:val="000000" w:themeColor="text1"/>
          <w:sz w:val="32"/>
          <w:szCs w:val="32"/>
          <w14:textFill>
            <w14:solidFill>
              <w14:schemeClr w14:val="tx1"/>
            </w14:solidFill>
          </w14:textFill>
        </w:rPr>
        <w:t>、适宜区域</w:t>
      </w:r>
    </w:p>
    <w:p>
      <w:pPr>
        <w:keepNext w:val="0"/>
        <w:keepLines w:val="0"/>
        <w:pageBreakBefore w:val="0"/>
        <w:kinsoku/>
        <w:wordWrap/>
        <w:overflowPunct/>
        <w:topLinePunct w:val="0"/>
        <w:autoSpaceDE/>
        <w:autoSpaceDN/>
        <w:bidi w:val="0"/>
        <w:adjustRightInd w:val="0"/>
        <w:snapToGrid/>
        <w:spacing w:line="640" w:lineRule="exact"/>
        <w:ind w:firstLine="640"/>
        <w:textAlignment w:val="auto"/>
        <w:rPr>
          <w:rFonts w:ascii="Times New Roman" w:hAnsi="Times New Roman" w:eastAsia="黑体"/>
          <w:color w:val="000000" w:themeColor="text1"/>
          <w:sz w:val="32"/>
          <w:szCs w:val="32"/>
          <w14:textFill>
            <w14:solidFill>
              <w14:schemeClr w14:val="tx1"/>
            </w14:solidFill>
          </w14:textFill>
        </w:rPr>
      </w:pPr>
      <w:r>
        <w:rPr>
          <w:rFonts w:hint="eastAsia" w:ascii="仿宋_GB2312" w:hAnsi="Times New Roman" w:eastAsia="仿宋_GB2312"/>
          <w:color w:val="000000" w:themeColor="text1"/>
          <w:sz w:val="28"/>
          <w:szCs w:val="28"/>
          <w:lang w:eastAsia="zh-CN"/>
          <w14:textFill>
            <w14:solidFill>
              <w14:schemeClr w14:val="tx1"/>
            </w14:solidFill>
          </w14:textFill>
        </w:rPr>
        <w:t>全市适用。</w:t>
      </w:r>
    </w:p>
    <w:p>
      <w:pPr>
        <w:keepNext w:val="0"/>
        <w:keepLines w:val="0"/>
        <w:pageBreakBefore w:val="0"/>
        <w:kinsoku/>
        <w:wordWrap/>
        <w:overflowPunct/>
        <w:topLinePunct w:val="0"/>
        <w:autoSpaceDE/>
        <w:autoSpaceDN/>
        <w:bidi w:val="0"/>
        <w:adjustRightInd w:val="0"/>
        <w:snapToGrid/>
        <w:spacing w:line="640" w:lineRule="exact"/>
        <w:ind w:firstLine="640"/>
        <w:textAlignment w:val="auto"/>
        <w:rPr>
          <w:rFonts w:hint="eastAsia" w:ascii="仿宋_GB2312" w:hAnsi="Times New Roman" w:eastAsia="仿宋_GB2312"/>
          <w:color w:val="000000" w:themeColor="text1"/>
          <w:sz w:val="28"/>
          <w:szCs w:val="28"/>
          <w14:textFill>
            <w14:solidFill>
              <w14:schemeClr w14:val="tx1"/>
            </w14:solidFill>
          </w14:textFill>
        </w:rPr>
      </w:pPr>
      <w:r>
        <w:rPr>
          <w:rFonts w:hint="eastAsia" w:ascii="Times New Roman" w:hAnsi="Times New Roman" w:eastAsia="黑体"/>
          <w:color w:val="000000" w:themeColor="text1"/>
          <w:sz w:val="32"/>
          <w:szCs w:val="32"/>
          <w:lang w:eastAsia="zh-CN"/>
          <w14:textFill>
            <w14:solidFill>
              <w14:schemeClr w14:val="tx1"/>
            </w14:solidFill>
          </w14:textFill>
        </w:rPr>
        <w:t>三</w:t>
      </w:r>
      <w:r>
        <w:rPr>
          <w:rFonts w:ascii="Times New Roman" w:hAnsi="Times New Roman" w:eastAsia="黑体"/>
          <w:color w:val="000000" w:themeColor="text1"/>
          <w:sz w:val="32"/>
          <w:szCs w:val="32"/>
          <w14:textFill>
            <w14:solidFill>
              <w14:schemeClr w14:val="tx1"/>
            </w14:solidFill>
          </w14:textFill>
        </w:rPr>
        <w:t>、注意事项</w:t>
      </w:r>
    </w:p>
    <w:p>
      <w:pPr>
        <w:keepNext w:val="0"/>
        <w:keepLines w:val="0"/>
        <w:pageBreakBefore w:val="0"/>
        <w:kinsoku/>
        <w:wordWrap/>
        <w:overflowPunct/>
        <w:topLinePunct w:val="0"/>
        <w:autoSpaceDE/>
        <w:autoSpaceDN/>
        <w:bidi w:val="0"/>
        <w:adjustRightInd w:val="0"/>
        <w:snapToGrid/>
        <w:spacing w:line="640" w:lineRule="exact"/>
        <w:ind w:firstLine="640"/>
        <w:textAlignment w:val="auto"/>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lang w:eastAsia="zh-CN"/>
          <w14:textFill>
            <w14:solidFill>
              <w14:schemeClr w14:val="tx1"/>
            </w14:solidFill>
          </w14:textFill>
        </w:rPr>
        <w:t>无。</w:t>
      </w:r>
    </w:p>
    <w:p>
      <w:pPr>
        <w:keepNext w:val="0"/>
        <w:keepLines w:val="0"/>
        <w:pageBreakBefore w:val="0"/>
        <w:kinsoku/>
        <w:wordWrap/>
        <w:overflowPunct/>
        <w:topLinePunct w:val="0"/>
        <w:autoSpaceDE/>
        <w:autoSpaceDN/>
        <w:bidi w:val="0"/>
        <w:snapToGrid/>
        <w:spacing w:line="640" w:lineRule="exact"/>
        <w:ind w:firstLine="640" w:firstLineChars="200"/>
        <w:textAlignment w:val="auto"/>
        <w:rPr>
          <w:rFonts w:ascii="Times New Roman" w:hAnsi="Times New Roman" w:eastAsia="黑体"/>
          <w:color w:val="000000" w:themeColor="text1"/>
          <w:sz w:val="28"/>
          <w:szCs w:val="28"/>
          <w14:textFill>
            <w14:solidFill>
              <w14:schemeClr w14:val="tx1"/>
            </w14:solidFill>
          </w14:textFill>
        </w:rPr>
      </w:pPr>
      <w:r>
        <w:rPr>
          <w:rFonts w:hint="eastAsia" w:ascii="Times New Roman" w:hAnsi="Times New Roman" w:eastAsia="黑体"/>
          <w:color w:val="000000" w:themeColor="text1"/>
          <w:sz w:val="32"/>
          <w:szCs w:val="32"/>
          <w:lang w:eastAsia="zh-CN"/>
          <w14:textFill>
            <w14:solidFill>
              <w14:schemeClr w14:val="tx1"/>
            </w14:solidFill>
          </w14:textFill>
        </w:rPr>
        <w:t>四</w:t>
      </w:r>
      <w:r>
        <w:rPr>
          <w:rFonts w:ascii="Times New Roman" w:hAnsi="Times New Roman" w:eastAsia="黑体"/>
          <w:color w:val="000000" w:themeColor="text1"/>
          <w:sz w:val="32"/>
          <w:szCs w:val="32"/>
          <w14:textFill>
            <w14:solidFill>
              <w14:schemeClr w14:val="tx1"/>
            </w14:solidFill>
          </w14:textFill>
        </w:rPr>
        <w:t>、技术依托单位</w:t>
      </w:r>
    </w:p>
    <w:p>
      <w:pPr>
        <w:keepNext w:val="0"/>
        <w:keepLines w:val="0"/>
        <w:pageBreakBefore w:val="0"/>
        <w:kinsoku/>
        <w:wordWrap/>
        <w:overflowPunct/>
        <w:topLinePunct w:val="0"/>
        <w:autoSpaceDE/>
        <w:autoSpaceDN/>
        <w:bidi w:val="0"/>
        <w:adjustRightInd w:val="0"/>
        <w:snapToGrid/>
        <w:spacing w:line="640" w:lineRule="exact"/>
        <w:ind w:firstLine="560" w:firstLineChars="200"/>
        <w:textAlignment w:val="auto"/>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lang w:eastAsia="zh-CN"/>
          <w14:textFill>
            <w14:solidFill>
              <w14:schemeClr w14:val="tx1"/>
            </w14:solidFill>
          </w14:textFill>
        </w:rPr>
        <w:t>依托单位：赣州市畜牧业发展和动物疫病防控中心</w:t>
      </w:r>
    </w:p>
    <w:p>
      <w:pPr>
        <w:keepNext w:val="0"/>
        <w:keepLines w:val="0"/>
        <w:pageBreakBefore w:val="0"/>
        <w:kinsoku/>
        <w:wordWrap/>
        <w:overflowPunct/>
        <w:topLinePunct w:val="0"/>
        <w:autoSpaceDE/>
        <w:autoSpaceDN/>
        <w:bidi w:val="0"/>
        <w:adjustRightInd w:val="0"/>
        <w:snapToGrid/>
        <w:spacing w:line="640" w:lineRule="exact"/>
        <w:ind w:firstLine="560" w:firstLineChars="200"/>
        <w:textAlignment w:val="auto"/>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 系 人：</w:t>
      </w:r>
      <w:r>
        <w:rPr>
          <w:rFonts w:hint="eastAsia" w:ascii="仿宋_GB2312" w:hAnsi="Times New Roman" w:eastAsia="仿宋_GB2312"/>
          <w:color w:val="000000" w:themeColor="text1"/>
          <w:sz w:val="28"/>
          <w:szCs w:val="28"/>
          <w:lang w:eastAsia="zh-CN"/>
          <w14:textFill>
            <w14:solidFill>
              <w14:schemeClr w14:val="tx1"/>
            </w14:solidFill>
          </w14:textFill>
        </w:rPr>
        <w:t>郭海宁、王歆、刘兰平、温凌嵩</w:t>
      </w:r>
    </w:p>
    <w:p>
      <w:pPr>
        <w:keepNext w:val="0"/>
        <w:keepLines w:val="0"/>
        <w:pageBreakBefore w:val="0"/>
        <w:kinsoku/>
        <w:wordWrap/>
        <w:overflowPunct/>
        <w:topLinePunct w:val="0"/>
        <w:autoSpaceDE/>
        <w:autoSpaceDN/>
        <w:bidi w:val="0"/>
        <w:adjustRightInd w:val="0"/>
        <w:snapToGrid/>
        <w:spacing w:line="640" w:lineRule="exact"/>
        <w:ind w:firstLine="560" w:firstLineChars="200"/>
        <w:textAlignment w:val="auto"/>
        <w:rPr>
          <w:rFonts w:hint="default"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联系电话：</w:t>
      </w:r>
      <w:r>
        <w:rPr>
          <w:rFonts w:hint="eastAsia" w:ascii="仿宋_GB2312" w:hAnsi="Times New Roman" w:eastAsia="仿宋_GB2312"/>
          <w:color w:val="000000" w:themeColor="text1"/>
          <w:sz w:val="28"/>
          <w:szCs w:val="28"/>
          <w:lang w:val="en-US" w:eastAsia="zh-CN"/>
          <w14:textFill>
            <w14:solidFill>
              <w14:schemeClr w14:val="tx1"/>
            </w14:solidFill>
          </w14:textFill>
        </w:rPr>
        <w:t>0797-8196375</w:t>
      </w:r>
    </w:p>
    <w:p>
      <w:pPr>
        <w:keepNext w:val="0"/>
        <w:keepLines w:val="0"/>
        <w:pageBreakBefore w:val="0"/>
        <w:kinsoku/>
        <w:wordWrap/>
        <w:overflowPunct/>
        <w:topLinePunct w:val="0"/>
        <w:autoSpaceDE/>
        <w:autoSpaceDN/>
        <w:bidi w:val="0"/>
        <w:adjustRightInd w:val="0"/>
        <w:snapToGrid/>
        <w:spacing w:line="640" w:lineRule="exact"/>
        <w:ind w:firstLine="640"/>
        <w:textAlignment w:val="auto"/>
        <w:rPr>
          <w:rFonts w:hint="eastAsia" w:ascii="仿宋_GB2312" w:hAnsi="Times New Roman" w:eastAsia="仿宋_GB2312"/>
          <w:color w:val="000000" w:themeColor="text1"/>
          <w:sz w:val="28"/>
          <w:szCs w:val="28"/>
          <w:lang w:eastAsia="zh-CN"/>
          <w14:textFill>
            <w14:solidFill>
              <w14:schemeClr w14:val="tx1"/>
            </w14:solidFill>
          </w14:textFill>
        </w:rPr>
      </w:pPr>
      <w:bookmarkStart w:id="4" w:name="_GoBack"/>
      <w:bookmarkEnd w:id="4"/>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panose1 w:val="02010600030101010101"/>
    <w:charset w:val="34"/>
    <w:family w:val="auto"/>
    <w:pitch w:val="default"/>
    <w:sig w:usb0="00000003" w:usb1="080E0000" w:usb2="00000000" w:usb3="00000000" w:csb0="00040001" w:csb1="00000000"/>
  </w:font>
  <w:font w:name="Wingdings">
    <w:altName w:val="宋体-PUA"/>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宋体-PUA"/>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宋体-PUA">
    <w:panose1 w:val="02010600030101010101"/>
    <w:charset w:val="86"/>
    <w:family w:val="auto"/>
    <w:pitch w:val="default"/>
    <w:sig w:usb0="00000000" w:usb1="1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posOffset>2574290</wp:posOffset>
              </wp:positionH>
              <wp:positionV relativeFrom="paragraph">
                <wp:posOffset>-1270</wp:posOffset>
              </wp:positionV>
              <wp:extent cx="192405" cy="128270"/>
              <wp:effectExtent l="0" t="0" r="0" b="5080"/>
              <wp:wrapNone/>
              <wp:docPr id="1" name="文本框 1"/>
              <wp:cNvGraphicFramePr/>
              <a:graphic xmlns:a="http://schemas.openxmlformats.org/drawingml/2006/main">
                <a:graphicData uri="http://schemas.microsoft.com/office/word/2010/wordprocessingShape">
                  <wps:wsp>
                    <wps:cNvSpPr txBox="true"/>
                    <wps:spPr>
                      <a:xfrm>
                        <a:off x="0" y="0"/>
                        <a:ext cx="192505" cy="128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02.7pt;margin-top:-0.1pt;height:10.1pt;width:15.15pt;mso-position-horizontal-relative:margin;z-index:251659264;mso-width-relative:page;mso-height-relative:page;" filled="f" stroked="f" coordsize="21600,21600" o:gfxdata="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D/SQkrXAAAACAEAAA8AAAAAAAAAAQAgAAAAOAAAAGRycy9kb3ducmV2LnhtbFBL&#10;AQIUABQAAAAIAIdO4kDRn2KwGgIAABkEAAAOAAAAAAAAAAEAIAAAADwBAABkcnMvZTJvRG9jLnht&#10;bFBLBQYAAAAABgAGAFkBAADIBQAAAAA=&#10;">
              <v:fill on="f" focussize="0,0"/>
              <v:stroke on="f" weight="0.5pt"/>
              <v:imagedata o:title=""/>
              <o:lock v:ext="edit" aspectratio="f"/>
              <v:textbox inset="0mm,0mm,0mm,0mm">
                <w:txbxContent>
                  <w:p>
                    <w:pPr>
                      <w:pStyle w:val="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v:textbox>
            </v:shape>
          </w:pict>
        </mc:Fallback>
      </mc:AlternateContent>
    </w:r>
    <w:sdt>
      <w:sdtPr>
        <w:id w:val="1098292654"/>
        <w:showingPlcHdr/>
      </w:sdtPr>
      <w:sdtEndPr>
        <w:rPr>
          <w:rFonts w:ascii="Times New Roman" w:hAnsi="Times New Roman" w:cs="Times New Roman"/>
        </w:rPr>
      </w:sdtEndPr>
      <w:sdtContent>
        <w:r>
          <w:t xml:space="preserve">     </w:t>
        </w:r>
      </w:sdtContent>
    </w:sdt>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10"/>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315"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xYjE0NTEyODZiNDMxNjY3MGVlYjA1MmRjOTk4MjEifQ=="/>
  </w:docVars>
  <w:rsids>
    <w:rsidRoot w:val="003C536F"/>
    <w:rsid w:val="000C1AD4"/>
    <w:rsid w:val="00252342"/>
    <w:rsid w:val="00333E9D"/>
    <w:rsid w:val="003C536F"/>
    <w:rsid w:val="00415A12"/>
    <w:rsid w:val="0045517F"/>
    <w:rsid w:val="004B00CC"/>
    <w:rsid w:val="013712F7"/>
    <w:rsid w:val="03A93ABE"/>
    <w:rsid w:val="11275EF3"/>
    <w:rsid w:val="132D60B6"/>
    <w:rsid w:val="183A374F"/>
    <w:rsid w:val="1FA34CB2"/>
    <w:rsid w:val="207D067D"/>
    <w:rsid w:val="22B8169F"/>
    <w:rsid w:val="22EC1C03"/>
    <w:rsid w:val="23A81EB5"/>
    <w:rsid w:val="250F1A33"/>
    <w:rsid w:val="25A466AC"/>
    <w:rsid w:val="26451B58"/>
    <w:rsid w:val="3E151A9D"/>
    <w:rsid w:val="3E5D5000"/>
    <w:rsid w:val="42084E57"/>
    <w:rsid w:val="452A2D94"/>
    <w:rsid w:val="487877F8"/>
    <w:rsid w:val="49060BED"/>
    <w:rsid w:val="49170DBF"/>
    <w:rsid w:val="4A5F5A11"/>
    <w:rsid w:val="4B3A0D95"/>
    <w:rsid w:val="4FD536CC"/>
    <w:rsid w:val="52EC6E19"/>
    <w:rsid w:val="55EFB31C"/>
    <w:rsid w:val="572A6725"/>
    <w:rsid w:val="577E5D03"/>
    <w:rsid w:val="5877347D"/>
    <w:rsid w:val="61891CD7"/>
    <w:rsid w:val="6F37DECB"/>
    <w:rsid w:val="710E0E18"/>
    <w:rsid w:val="71A768D5"/>
    <w:rsid w:val="77DFD458"/>
    <w:rsid w:val="7D893333"/>
    <w:rsid w:val="FEDF19C4"/>
    <w:rsid w:val="FEFB0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paragraph" w:customStyle="1" w:styleId="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0">
    <w:name w:val="章标题"/>
    <w:next w:val="9"/>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2889</Words>
  <Characters>3216</Characters>
  <Lines>4</Lines>
  <Paragraphs>1</Paragraphs>
  <TotalTime>8</TotalTime>
  <ScaleCrop>false</ScaleCrop>
  <LinksUpToDate>false</LinksUpToDate>
  <CharactersWithSpaces>3405</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2024-09-30T22:26:00Z</dcterms:created>
  <dc:creator>A4883</dc:creator>
  <cp:lastModifiedBy>user</cp:lastModifiedBy>
  <dcterms:modified xsi:type="dcterms:W3CDTF">2025-03-18T11:39:10Z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C464E9F9222545F0B1FFD132EB904544_13</vt:lpwstr>
  </property>
  <property fmtid="{D5CDD505-2E9C-101B-9397-08002B2CF9AE}" pid="4" name="KSOTemplateDocerSaveRecord">
    <vt:lpwstr>eyJoZGlkIjoiYWFiYmE5NTUwMWU3ZGNiYzk5NzNiYTViNzUxZjY0NzgiLCJ1c2VySWQiOiIzMjA3NDY2MzcifQ==</vt:lpwstr>
  </property>
</Properties>
</file>